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3D6E9" w14:textId="77777777" w:rsidR="00687498" w:rsidRPr="00687498" w:rsidRDefault="00687498" w:rsidP="00C03246">
      <w:pPr>
        <w:autoSpaceDE w:val="0"/>
        <w:autoSpaceDN w:val="0"/>
        <w:adjustRightInd w:val="0"/>
        <w:spacing w:after="0" w:line="20" w:lineRule="atLeast"/>
        <w:jc w:val="both"/>
        <w:rPr>
          <w:rFonts w:ascii="Garamond" w:eastAsia="Times New Roman" w:hAnsi="Garamond" w:cs="Garamond"/>
          <w:sz w:val="24"/>
          <w:szCs w:val="24"/>
          <w:lang w:eastAsia="nl-BE"/>
        </w:rPr>
      </w:pPr>
      <w:bookmarkStart w:id="0" w:name="_Hlk515884800"/>
      <w:bookmarkStart w:id="1" w:name="_Hlk527452828"/>
      <w:bookmarkStart w:id="2" w:name="_Hlk502754823"/>
      <w:bookmarkStart w:id="3" w:name="_Hlk502818272"/>
      <w:bookmarkStart w:id="4" w:name="_Hlk535487634"/>
      <w:bookmarkStart w:id="5" w:name="_Hlk1390158"/>
      <w:bookmarkStart w:id="6" w:name="_Hlk2935624"/>
      <w:bookmarkStart w:id="7" w:name="_Hlk33099266"/>
      <w:bookmarkStart w:id="8" w:name="_Hlk34043837"/>
      <w:bookmarkStart w:id="9" w:name="_Hlk34050625"/>
      <w:bookmarkStart w:id="10" w:name="_Hlk34050886"/>
      <w:bookmarkStart w:id="11" w:name="_GoBack"/>
      <w:bookmarkEnd w:id="11"/>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4821"/>
        <w:gridCol w:w="2522"/>
      </w:tblGrid>
      <w:tr w:rsidR="00687498" w:rsidRPr="00687498" w14:paraId="71E4A2AA" w14:textId="77777777" w:rsidTr="00B37420">
        <w:trPr>
          <w:trHeight w:val="1093"/>
        </w:trPr>
        <w:tc>
          <w:tcPr>
            <w:tcW w:w="2763" w:type="dxa"/>
            <w:tcBorders>
              <w:top w:val="nil"/>
              <w:left w:val="nil"/>
              <w:bottom w:val="nil"/>
              <w:right w:val="nil"/>
            </w:tcBorders>
            <w:tcMar>
              <w:top w:w="0" w:type="dxa"/>
              <w:left w:w="108" w:type="dxa"/>
              <w:bottom w:w="0" w:type="dxa"/>
              <w:right w:w="108" w:type="dxa"/>
            </w:tcMar>
          </w:tcPr>
          <w:p w14:paraId="6DA86D34" w14:textId="77777777" w:rsidR="00687498" w:rsidRPr="00687498" w:rsidRDefault="00687498" w:rsidP="00C03246">
            <w:pPr>
              <w:autoSpaceDE w:val="0"/>
              <w:autoSpaceDN w:val="0"/>
              <w:adjustRightInd w:val="0"/>
              <w:spacing w:after="0" w:line="20" w:lineRule="atLeast"/>
              <w:jc w:val="both"/>
              <w:rPr>
                <w:rFonts w:ascii="Plantin MT Std" w:eastAsia="Times New Roman" w:hAnsi="Plantin MT Std" w:cs="Plantin MT Std"/>
                <w:b/>
                <w:bCs/>
                <w:sz w:val="32"/>
                <w:szCs w:val="32"/>
                <w:lang w:eastAsia="nl-BE"/>
              </w:rPr>
            </w:pPr>
          </w:p>
        </w:tc>
        <w:tc>
          <w:tcPr>
            <w:tcW w:w="4821" w:type="dxa"/>
            <w:tcBorders>
              <w:left w:val="nil"/>
              <w:right w:val="nil"/>
            </w:tcBorders>
            <w:tcMar>
              <w:top w:w="0" w:type="dxa"/>
              <w:left w:w="108" w:type="dxa"/>
              <w:bottom w:w="0" w:type="dxa"/>
              <w:right w:w="108" w:type="dxa"/>
            </w:tcMar>
          </w:tcPr>
          <w:p w14:paraId="71724572" w14:textId="77777777" w:rsidR="00687498" w:rsidRPr="00687498" w:rsidRDefault="00687498" w:rsidP="00C03246">
            <w:pPr>
              <w:autoSpaceDE w:val="0"/>
              <w:autoSpaceDN w:val="0"/>
              <w:adjustRightInd w:val="0"/>
              <w:spacing w:after="0" w:line="20" w:lineRule="atLeast"/>
              <w:jc w:val="both"/>
              <w:rPr>
                <w:rFonts w:ascii="Plantin MT Std" w:eastAsia="Times New Roman" w:hAnsi="Plantin MT Std" w:cs="Plantin MT Std"/>
                <w:b/>
                <w:bCs/>
                <w:sz w:val="21"/>
                <w:szCs w:val="21"/>
                <w:lang w:eastAsia="nl-BE"/>
              </w:rPr>
            </w:pPr>
          </w:p>
          <w:p w14:paraId="47DF136F" w14:textId="54D4715D" w:rsidR="00687498" w:rsidRPr="00687498" w:rsidRDefault="00B37420" w:rsidP="00C03246">
            <w:pPr>
              <w:autoSpaceDE w:val="0"/>
              <w:autoSpaceDN w:val="0"/>
              <w:adjustRightInd w:val="0"/>
              <w:spacing w:after="0" w:line="20" w:lineRule="atLeast"/>
              <w:jc w:val="both"/>
              <w:rPr>
                <w:rFonts w:ascii="Plantin MT Std" w:eastAsia="Times New Roman" w:hAnsi="Plantin MT Std" w:cs="Plantin MT Std"/>
                <w:sz w:val="21"/>
                <w:szCs w:val="21"/>
                <w:lang w:eastAsia="nl-BE"/>
              </w:rPr>
            </w:pPr>
            <w:r>
              <w:rPr>
                <w:rFonts w:ascii="Plantin MT Std" w:eastAsia="Times New Roman" w:hAnsi="Plantin MT Std" w:cs="Plantin MT Std"/>
                <w:b/>
                <w:bCs/>
                <w:sz w:val="32"/>
                <w:szCs w:val="32"/>
                <w:lang w:eastAsia="nl-BE"/>
              </w:rPr>
              <w:t>ASSIGNATION A COMPARAITRE</w:t>
            </w:r>
          </w:p>
          <w:p w14:paraId="53F96E40" w14:textId="77777777" w:rsidR="00687498" w:rsidRPr="00687498" w:rsidRDefault="00687498" w:rsidP="00C03246">
            <w:pPr>
              <w:autoSpaceDE w:val="0"/>
              <w:autoSpaceDN w:val="0"/>
              <w:adjustRightInd w:val="0"/>
              <w:spacing w:after="0" w:line="20" w:lineRule="atLeast"/>
              <w:jc w:val="both"/>
              <w:rPr>
                <w:rFonts w:ascii="Plantin MT Std" w:eastAsia="Times New Roman" w:hAnsi="Plantin MT Std" w:cs="Plantin MT Std"/>
                <w:b/>
                <w:bCs/>
                <w:sz w:val="21"/>
                <w:szCs w:val="21"/>
                <w:lang w:eastAsia="nl-BE"/>
              </w:rPr>
            </w:pPr>
          </w:p>
        </w:tc>
        <w:tc>
          <w:tcPr>
            <w:tcW w:w="2522" w:type="dxa"/>
            <w:tcBorders>
              <w:top w:val="nil"/>
              <w:left w:val="nil"/>
              <w:bottom w:val="nil"/>
              <w:right w:val="nil"/>
            </w:tcBorders>
            <w:tcMar>
              <w:top w:w="0" w:type="dxa"/>
              <w:left w:w="108" w:type="dxa"/>
              <w:bottom w:w="0" w:type="dxa"/>
              <w:right w:w="108" w:type="dxa"/>
            </w:tcMar>
          </w:tcPr>
          <w:p w14:paraId="230780CB" w14:textId="77777777" w:rsidR="00687498" w:rsidRPr="00687498" w:rsidRDefault="00687498" w:rsidP="00C03246">
            <w:pPr>
              <w:autoSpaceDE w:val="0"/>
              <w:autoSpaceDN w:val="0"/>
              <w:adjustRightInd w:val="0"/>
              <w:spacing w:after="0" w:line="20" w:lineRule="atLeast"/>
              <w:jc w:val="both"/>
              <w:rPr>
                <w:rFonts w:ascii="Plantin MT Std" w:eastAsia="Times New Roman" w:hAnsi="Plantin MT Std" w:cs="Plantin MT Std"/>
                <w:b/>
                <w:bCs/>
                <w:sz w:val="32"/>
                <w:szCs w:val="32"/>
                <w:lang w:eastAsia="nl-BE"/>
              </w:rPr>
            </w:pPr>
          </w:p>
        </w:tc>
      </w:tr>
    </w:tbl>
    <w:p w14:paraId="6B41596D" w14:textId="77777777" w:rsidR="00687498" w:rsidRPr="00687498" w:rsidRDefault="00687498" w:rsidP="00C03246">
      <w:pPr>
        <w:autoSpaceDE w:val="0"/>
        <w:autoSpaceDN w:val="0"/>
        <w:adjustRightInd w:val="0"/>
        <w:spacing w:after="0" w:line="20" w:lineRule="atLeast"/>
        <w:jc w:val="both"/>
        <w:rPr>
          <w:rFonts w:ascii="Garamond" w:eastAsia="Times New Roman" w:hAnsi="Garamond" w:cs="Garamond"/>
          <w:sz w:val="36"/>
          <w:szCs w:val="36"/>
          <w:lang w:eastAsia="nl-BE"/>
        </w:rPr>
      </w:pPr>
    </w:p>
    <w:p w14:paraId="1F17CC7E" w14:textId="1B738689" w:rsidR="00687498" w:rsidRPr="00B37420" w:rsidRDefault="00FC791F" w:rsidP="00C03246">
      <w:pPr>
        <w:spacing w:after="0" w:line="20" w:lineRule="atLeast"/>
        <w:jc w:val="both"/>
        <w:rPr>
          <w:rFonts w:ascii="Verdana" w:hAnsi="Verdana"/>
          <w:sz w:val="20"/>
          <w:szCs w:val="20"/>
          <w:lang w:val="fr-FR"/>
        </w:rPr>
      </w:pPr>
      <w:r>
        <w:rPr>
          <w:rFonts w:ascii="Verdana" w:hAnsi="Verdana"/>
          <w:sz w:val="20"/>
          <w:szCs w:val="20"/>
          <w:lang w:val="fr-FR"/>
        </w:rPr>
        <w:t>En l’an</w:t>
      </w:r>
      <w:r w:rsidR="00687498" w:rsidRPr="00B37420">
        <w:rPr>
          <w:rFonts w:ascii="Verdana" w:hAnsi="Verdana"/>
          <w:sz w:val="20"/>
          <w:szCs w:val="20"/>
          <w:lang w:val="fr-FR"/>
        </w:rPr>
        <w:t xml:space="preserve"> 2021, </w:t>
      </w:r>
    </w:p>
    <w:p w14:paraId="5845CFE6" w14:textId="77777777" w:rsidR="00687498" w:rsidRPr="00B37420" w:rsidRDefault="00687498" w:rsidP="00C03246">
      <w:pPr>
        <w:pStyle w:val="BriefTekst"/>
        <w:spacing w:line="20" w:lineRule="atLeast"/>
        <w:rPr>
          <w:lang w:val="fr-FR"/>
        </w:rPr>
      </w:pPr>
      <w:r w:rsidRPr="00B37420">
        <w:rPr>
          <w:lang w:val="fr-FR"/>
        </w:rPr>
        <w:t>A la demande de :</w:t>
      </w:r>
    </w:p>
    <w:p w14:paraId="094593FC" w14:textId="77777777" w:rsidR="00687498" w:rsidRPr="00B37420" w:rsidRDefault="00687498" w:rsidP="00C03246">
      <w:pPr>
        <w:pStyle w:val="BriefTekst"/>
        <w:spacing w:line="20" w:lineRule="atLeast"/>
        <w:rPr>
          <w:lang w:val="fr-FR"/>
        </w:rPr>
      </w:pPr>
    </w:p>
    <w:p w14:paraId="2A8DFA4E" w14:textId="039C724F" w:rsidR="007E60E0" w:rsidRPr="00B37420" w:rsidRDefault="007E60E0" w:rsidP="008857B2">
      <w:pPr>
        <w:pStyle w:val="BriefTekst"/>
        <w:numPr>
          <w:ilvl w:val="0"/>
          <w:numId w:val="2"/>
        </w:numPr>
        <w:spacing w:line="20" w:lineRule="atLeast"/>
        <w:ind w:left="720"/>
        <w:rPr>
          <w:lang w:val="fr-FR"/>
        </w:rPr>
      </w:pPr>
      <w:r w:rsidRPr="00B37420">
        <w:rPr>
          <w:lang w:val="fr-FR"/>
        </w:rPr>
        <w:t xml:space="preserve">Monsieur </w:t>
      </w:r>
      <w:r w:rsidRPr="00B37420">
        <w:rPr>
          <w:b/>
          <w:bCs/>
          <w:u w:val="single"/>
          <w:lang w:val="fr-FR"/>
        </w:rPr>
        <w:t>Luc LEENDERS</w:t>
      </w:r>
      <w:r w:rsidRPr="00B37420">
        <w:rPr>
          <w:lang w:val="fr-FR"/>
        </w:rPr>
        <w:t xml:space="preserve">, domicilié à 3680 Opoeteren, Wouterbos 41, numéro de registre </w:t>
      </w:r>
      <w:r w:rsidR="00770A8B">
        <w:rPr>
          <w:lang w:val="fr-FR"/>
        </w:rPr>
        <w:t xml:space="preserve">national </w:t>
      </w:r>
      <w:r w:rsidRPr="00B37420">
        <w:rPr>
          <w:lang w:val="fr-FR"/>
        </w:rPr>
        <w:t>60.12.23 -145.24.</w:t>
      </w:r>
    </w:p>
    <w:p w14:paraId="23C844F3" w14:textId="77777777" w:rsidR="007E60E0" w:rsidRPr="00B37420" w:rsidRDefault="007E60E0" w:rsidP="008857B2">
      <w:pPr>
        <w:pStyle w:val="BriefTekst"/>
        <w:spacing w:line="20" w:lineRule="atLeast"/>
        <w:ind w:left="720"/>
        <w:rPr>
          <w:lang w:val="fr-FR"/>
        </w:rPr>
      </w:pPr>
    </w:p>
    <w:p w14:paraId="5509E41C" w14:textId="7B5C754F" w:rsidR="007E60E0" w:rsidRDefault="007E60E0" w:rsidP="008857B2">
      <w:pPr>
        <w:pStyle w:val="BriefTekst"/>
        <w:numPr>
          <w:ilvl w:val="0"/>
          <w:numId w:val="2"/>
        </w:numPr>
        <w:spacing w:line="20" w:lineRule="atLeast"/>
        <w:ind w:left="720"/>
      </w:pPr>
      <w:r>
        <w:t xml:space="preserve">Madame </w:t>
      </w:r>
      <w:r w:rsidRPr="007E60E0">
        <w:rPr>
          <w:b/>
          <w:bCs/>
          <w:u w:val="single"/>
        </w:rPr>
        <w:t>Vera DE MOOR</w:t>
      </w:r>
      <w:r>
        <w:t xml:space="preserve">, domiciliée à 9820 Merelbeke, Sparrenstraat 61, numéro de registre </w:t>
      </w:r>
      <w:r w:rsidR="00770A8B">
        <w:t>national</w:t>
      </w:r>
      <w:r>
        <w:t xml:space="preserve"> </w:t>
      </w:r>
      <w:r w:rsidR="00A0518F" w:rsidRPr="00A0518F">
        <w:t>56.05.29-526.09</w:t>
      </w:r>
      <w:r w:rsidR="00A0518F">
        <w:t>.</w:t>
      </w:r>
    </w:p>
    <w:p w14:paraId="7780EB19" w14:textId="77777777" w:rsidR="007E60E0" w:rsidRDefault="007E60E0" w:rsidP="008857B2">
      <w:pPr>
        <w:pStyle w:val="BriefTekst"/>
        <w:spacing w:line="20" w:lineRule="atLeast"/>
        <w:ind w:left="720"/>
      </w:pPr>
    </w:p>
    <w:p w14:paraId="4D4ACD77" w14:textId="51B30A33" w:rsidR="00687498" w:rsidRPr="00B37420" w:rsidRDefault="007E60E0" w:rsidP="008857B2">
      <w:pPr>
        <w:pStyle w:val="BriefTekst"/>
        <w:numPr>
          <w:ilvl w:val="0"/>
          <w:numId w:val="2"/>
        </w:numPr>
        <w:spacing w:line="20" w:lineRule="atLeast"/>
        <w:ind w:left="720"/>
        <w:rPr>
          <w:lang w:val="fr-FR"/>
        </w:rPr>
      </w:pPr>
      <w:r w:rsidRPr="00B37420">
        <w:rPr>
          <w:lang w:val="fr-FR"/>
        </w:rPr>
        <w:t xml:space="preserve">Monsieur </w:t>
      </w:r>
      <w:r w:rsidRPr="00B37420">
        <w:rPr>
          <w:b/>
          <w:bCs/>
          <w:u w:val="single"/>
          <w:lang w:val="fr-FR"/>
        </w:rPr>
        <w:t>Gerrit SPRIET</w:t>
      </w:r>
      <w:r w:rsidRPr="00B37420">
        <w:rPr>
          <w:lang w:val="fr-FR"/>
        </w:rPr>
        <w:t>, domicilié à 1160 Auderghem, Sint-Annakru</w:t>
      </w:r>
      <w:r w:rsidR="00770A8B">
        <w:rPr>
          <w:lang w:val="fr-FR"/>
        </w:rPr>
        <w:t>ispunt 2, n</w:t>
      </w:r>
      <w:r w:rsidR="00770A8B">
        <w:rPr>
          <w:lang w:val="fr-FR"/>
        </w:rPr>
        <w:t>u</w:t>
      </w:r>
      <w:r w:rsidR="00770A8B">
        <w:rPr>
          <w:lang w:val="fr-FR"/>
        </w:rPr>
        <w:t>méro de registre nationa</w:t>
      </w:r>
      <w:r w:rsidRPr="00B37420">
        <w:rPr>
          <w:lang w:val="fr-FR"/>
        </w:rPr>
        <w:t>l 76.05.24 -169.63</w:t>
      </w:r>
      <w:r w:rsidR="000B244A" w:rsidRPr="00B37420">
        <w:rPr>
          <w:lang w:val="fr-FR"/>
        </w:rPr>
        <w:t>.</w:t>
      </w:r>
    </w:p>
    <w:p w14:paraId="74AE0F0C" w14:textId="14877DDE" w:rsidR="00687498" w:rsidRPr="00B37420" w:rsidRDefault="00687498" w:rsidP="008857B2">
      <w:pPr>
        <w:spacing w:after="0" w:line="20" w:lineRule="atLeast"/>
        <w:ind w:left="720"/>
        <w:jc w:val="both"/>
        <w:rPr>
          <w:rFonts w:ascii="Verdana" w:hAnsi="Verdana"/>
          <w:sz w:val="20"/>
          <w:szCs w:val="20"/>
          <w:lang w:val="fr-FR"/>
        </w:rPr>
      </w:pPr>
    </w:p>
    <w:p w14:paraId="2CF478CE" w14:textId="4563B143" w:rsidR="00820A77" w:rsidRPr="00B37420" w:rsidRDefault="00820A77" w:rsidP="008857B2">
      <w:pPr>
        <w:pStyle w:val="Paragraphedeliste"/>
        <w:numPr>
          <w:ilvl w:val="0"/>
          <w:numId w:val="2"/>
        </w:numPr>
        <w:tabs>
          <w:tab w:val="left" w:pos="1560"/>
        </w:tabs>
        <w:spacing w:after="0" w:line="20" w:lineRule="atLeast"/>
        <w:ind w:left="720"/>
        <w:jc w:val="both"/>
        <w:rPr>
          <w:rFonts w:ascii="Verdana" w:hAnsi="Verdana"/>
          <w:sz w:val="20"/>
          <w:szCs w:val="20"/>
          <w:lang w:val="fr-FR"/>
        </w:rPr>
      </w:pPr>
      <w:r w:rsidRPr="00B37420">
        <w:rPr>
          <w:rFonts w:ascii="Verdana" w:hAnsi="Verdana"/>
          <w:sz w:val="20"/>
          <w:szCs w:val="20"/>
          <w:lang w:val="fr-FR"/>
        </w:rPr>
        <w:t xml:space="preserve">Mme </w:t>
      </w:r>
      <w:r w:rsidRPr="00B37420">
        <w:rPr>
          <w:rFonts w:ascii="Verdana" w:hAnsi="Verdana"/>
          <w:b/>
          <w:bCs/>
          <w:sz w:val="20"/>
          <w:szCs w:val="20"/>
          <w:u w:val="single"/>
          <w:lang w:val="fr-FR"/>
        </w:rPr>
        <w:t>Armelle PEETERS</w:t>
      </w:r>
      <w:r w:rsidRPr="00B37420">
        <w:rPr>
          <w:rFonts w:ascii="Verdana" w:hAnsi="Verdana"/>
          <w:sz w:val="20"/>
          <w:szCs w:val="20"/>
          <w:lang w:val="fr-FR"/>
        </w:rPr>
        <w:t xml:space="preserve">, médecin, domiciliée à 1500 Halle, Ninoofsesteenweg 449, numéro de registre </w:t>
      </w:r>
      <w:r w:rsidR="00770A8B">
        <w:rPr>
          <w:rFonts w:ascii="Verdana" w:hAnsi="Verdana"/>
          <w:sz w:val="20"/>
          <w:szCs w:val="20"/>
          <w:lang w:val="fr-FR"/>
        </w:rPr>
        <w:t xml:space="preserve">national </w:t>
      </w:r>
      <w:r w:rsidRPr="00B37420">
        <w:rPr>
          <w:rFonts w:ascii="Verdana" w:hAnsi="Verdana"/>
          <w:sz w:val="20"/>
          <w:szCs w:val="20"/>
          <w:lang w:val="fr-FR"/>
        </w:rPr>
        <w:t>64.04.21-024.39.</w:t>
      </w:r>
    </w:p>
    <w:p w14:paraId="0F974B8C" w14:textId="77777777" w:rsidR="004B3B5D" w:rsidRPr="00B37420" w:rsidRDefault="004B3B5D" w:rsidP="008857B2">
      <w:pPr>
        <w:pStyle w:val="Paragraphedeliste"/>
        <w:spacing w:after="0" w:line="20" w:lineRule="atLeast"/>
        <w:jc w:val="both"/>
        <w:rPr>
          <w:rFonts w:ascii="Verdana" w:hAnsi="Verdana"/>
          <w:sz w:val="20"/>
          <w:szCs w:val="20"/>
          <w:lang w:val="fr-FR"/>
        </w:rPr>
      </w:pPr>
    </w:p>
    <w:p w14:paraId="43D84636" w14:textId="74F47D51" w:rsidR="004B3B5D" w:rsidRPr="00B37420" w:rsidRDefault="004B3B5D" w:rsidP="008857B2">
      <w:pPr>
        <w:pStyle w:val="Paragraphedeliste"/>
        <w:numPr>
          <w:ilvl w:val="0"/>
          <w:numId w:val="2"/>
        </w:numPr>
        <w:tabs>
          <w:tab w:val="left" w:pos="1560"/>
        </w:tabs>
        <w:spacing w:after="0" w:line="20" w:lineRule="atLeast"/>
        <w:ind w:left="720"/>
        <w:jc w:val="both"/>
        <w:rPr>
          <w:rFonts w:ascii="Verdana" w:hAnsi="Verdana"/>
          <w:sz w:val="20"/>
          <w:szCs w:val="20"/>
          <w:lang w:val="fr-FR"/>
        </w:rPr>
      </w:pPr>
      <w:r w:rsidRPr="00B37420">
        <w:rPr>
          <w:rFonts w:ascii="Verdana" w:hAnsi="Verdana"/>
          <w:sz w:val="20"/>
          <w:szCs w:val="20"/>
          <w:lang w:val="fr-FR"/>
        </w:rPr>
        <w:t xml:space="preserve">M. </w:t>
      </w:r>
      <w:r w:rsidRPr="00B37420">
        <w:rPr>
          <w:rFonts w:ascii="Verdana" w:hAnsi="Verdana"/>
          <w:b/>
          <w:bCs/>
          <w:sz w:val="20"/>
          <w:szCs w:val="20"/>
          <w:u w:val="single"/>
          <w:lang w:val="fr-FR"/>
        </w:rPr>
        <w:t>Ilias SFIKAS</w:t>
      </w:r>
      <w:r w:rsidRPr="00B37420">
        <w:rPr>
          <w:rFonts w:ascii="Verdana" w:hAnsi="Verdana"/>
          <w:sz w:val="20"/>
          <w:szCs w:val="20"/>
          <w:lang w:val="fr-FR"/>
        </w:rPr>
        <w:t xml:space="preserve">, résidant à 2650 Edegem, Prins Boudewijnlaan </w:t>
      </w:r>
      <w:r w:rsidR="00E963E2" w:rsidRPr="00B37420">
        <w:rPr>
          <w:rFonts w:ascii="Verdana" w:hAnsi="Verdana"/>
          <w:sz w:val="20"/>
          <w:szCs w:val="20"/>
          <w:lang w:val="fr-FR"/>
        </w:rPr>
        <w:t>349</w:t>
      </w:r>
      <w:r w:rsidRPr="00B37420">
        <w:rPr>
          <w:rFonts w:ascii="Verdana" w:hAnsi="Verdana"/>
          <w:sz w:val="20"/>
          <w:szCs w:val="20"/>
          <w:lang w:val="fr-FR"/>
        </w:rPr>
        <w:t>, numéro de registre national : 90.01.25-083.94</w:t>
      </w:r>
    </w:p>
    <w:p w14:paraId="4B44EC26" w14:textId="77777777" w:rsidR="004B3B5D" w:rsidRPr="00B37420" w:rsidRDefault="004B3B5D" w:rsidP="008857B2">
      <w:pPr>
        <w:pStyle w:val="Paragraphedeliste"/>
        <w:tabs>
          <w:tab w:val="left" w:pos="1560"/>
        </w:tabs>
        <w:spacing w:after="0" w:line="20" w:lineRule="atLeast"/>
        <w:jc w:val="both"/>
        <w:rPr>
          <w:rFonts w:ascii="Verdana" w:hAnsi="Verdana"/>
          <w:sz w:val="20"/>
          <w:szCs w:val="20"/>
          <w:lang w:val="fr-FR"/>
        </w:rPr>
      </w:pPr>
    </w:p>
    <w:p w14:paraId="0C5DDE71" w14:textId="464675AC" w:rsidR="00F86662" w:rsidRPr="00B37420" w:rsidRDefault="00F86662" w:rsidP="008857B2">
      <w:pPr>
        <w:pStyle w:val="Paragraphedeliste"/>
        <w:numPr>
          <w:ilvl w:val="0"/>
          <w:numId w:val="2"/>
        </w:numPr>
        <w:spacing w:after="0" w:line="20" w:lineRule="atLeast"/>
        <w:ind w:left="720"/>
        <w:jc w:val="both"/>
        <w:rPr>
          <w:rFonts w:ascii="Verdana" w:hAnsi="Verdana"/>
          <w:sz w:val="20"/>
          <w:szCs w:val="20"/>
          <w:lang w:val="fr-FR"/>
        </w:rPr>
      </w:pPr>
      <w:r w:rsidRPr="00B37420">
        <w:rPr>
          <w:rFonts w:ascii="Verdana" w:hAnsi="Verdana"/>
          <w:b/>
          <w:bCs/>
          <w:sz w:val="20"/>
          <w:szCs w:val="20"/>
          <w:u w:val="single"/>
          <w:lang w:val="fr-FR"/>
        </w:rPr>
        <w:t>VZW BBSB</w:t>
      </w:r>
      <w:r w:rsidRPr="00B37420">
        <w:rPr>
          <w:rFonts w:ascii="Verdana" w:hAnsi="Verdana"/>
          <w:sz w:val="20"/>
          <w:szCs w:val="20"/>
          <w:lang w:val="fr-FR"/>
        </w:rPr>
        <w:t>, dont le siège social est établi à 9320 Aalst, Ninovesteenweg 198, boîte 30, inscrite à la Banque-Carrefour des Entreprises sous le numéro 0750.781.879.</w:t>
      </w:r>
    </w:p>
    <w:p w14:paraId="007BA9DB" w14:textId="77777777" w:rsidR="00F86662" w:rsidRPr="00B37420" w:rsidRDefault="00F86662" w:rsidP="008857B2">
      <w:pPr>
        <w:spacing w:after="0" w:line="20" w:lineRule="atLeast"/>
        <w:ind w:left="360"/>
        <w:jc w:val="both"/>
        <w:rPr>
          <w:rFonts w:ascii="Verdana" w:hAnsi="Verdana"/>
          <w:sz w:val="20"/>
          <w:szCs w:val="20"/>
          <w:lang w:val="fr-FR"/>
        </w:rPr>
      </w:pPr>
    </w:p>
    <w:p w14:paraId="5484263C" w14:textId="5B84F13F" w:rsidR="00687498" w:rsidRPr="00B37420" w:rsidRDefault="00687498" w:rsidP="008857B2">
      <w:pPr>
        <w:spacing w:after="0" w:line="20" w:lineRule="atLeast"/>
        <w:ind w:left="360"/>
        <w:jc w:val="both"/>
        <w:rPr>
          <w:rFonts w:ascii="Verdana" w:hAnsi="Verdana"/>
          <w:sz w:val="20"/>
          <w:szCs w:val="20"/>
          <w:lang w:val="fr-FR"/>
        </w:rPr>
      </w:pPr>
      <w:r w:rsidRPr="00B37420">
        <w:rPr>
          <w:rFonts w:ascii="Verdana" w:hAnsi="Verdana"/>
          <w:sz w:val="20"/>
          <w:szCs w:val="20"/>
          <w:lang w:val="fr-FR"/>
        </w:rPr>
        <w:t xml:space="preserve">Conseil : M. Michiel Deweirdt, avec bureau à 9000 Gand, Molenaarsstraat 111 boîte 1a. (réf. </w:t>
      </w:r>
      <w:r w:rsidR="007E60E0" w:rsidRPr="00B37420">
        <w:rPr>
          <w:rFonts w:ascii="Verdana" w:hAnsi="Verdana"/>
          <w:sz w:val="20"/>
          <w:szCs w:val="20"/>
          <w:lang w:val="fr-FR"/>
        </w:rPr>
        <w:t>MD900039</w:t>
      </w:r>
      <w:r w:rsidRPr="00B37420">
        <w:rPr>
          <w:rFonts w:ascii="Verdana" w:hAnsi="Verdana"/>
          <w:sz w:val="20"/>
          <w:szCs w:val="20"/>
          <w:lang w:val="fr-FR"/>
        </w:rPr>
        <w:t>)</w:t>
      </w:r>
    </w:p>
    <w:p w14:paraId="6CBBB4C5" w14:textId="30FEB05B" w:rsidR="00687498" w:rsidRPr="00B37420" w:rsidRDefault="00687498" w:rsidP="00C03246">
      <w:pPr>
        <w:spacing w:after="0" w:line="20" w:lineRule="atLeast"/>
        <w:jc w:val="both"/>
        <w:rPr>
          <w:rFonts w:ascii="Verdana" w:hAnsi="Verdana"/>
          <w:sz w:val="20"/>
          <w:szCs w:val="20"/>
          <w:lang w:val="fr-FR"/>
        </w:rPr>
      </w:pPr>
    </w:p>
    <w:p w14:paraId="7E3D0E55" w14:textId="77777777" w:rsidR="00687498" w:rsidRPr="00B37420" w:rsidRDefault="00687498" w:rsidP="00C03246">
      <w:pPr>
        <w:spacing w:after="0" w:line="20" w:lineRule="atLeast"/>
        <w:jc w:val="both"/>
        <w:rPr>
          <w:rFonts w:ascii="Verdana" w:hAnsi="Verdana"/>
          <w:sz w:val="20"/>
          <w:szCs w:val="20"/>
          <w:lang w:val="fr-FR"/>
        </w:rPr>
      </w:pPr>
      <w:r w:rsidRPr="00B37420">
        <w:rPr>
          <w:rFonts w:ascii="Verdana" w:hAnsi="Verdana"/>
          <w:sz w:val="20"/>
          <w:szCs w:val="20"/>
          <w:lang w:val="fr-FR"/>
        </w:rPr>
        <w:t>Je, soussigné,</w:t>
      </w:r>
      <w:r w:rsidRPr="00B37420">
        <w:rPr>
          <w:rFonts w:ascii="Verdana" w:hAnsi="Verdana"/>
          <w:sz w:val="20"/>
          <w:szCs w:val="20"/>
          <w:lang w:val="fr-FR"/>
        </w:rPr>
        <w:tab/>
      </w:r>
      <w:r w:rsidRPr="00B37420">
        <w:rPr>
          <w:rFonts w:ascii="Verdana" w:hAnsi="Verdana"/>
          <w:sz w:val="20"/>
          <w:szCs w:val="20"/>
          <w:lang w:val="fr-FR"/>
        </w:rPr>
        <w:tab/>
      </w:r>
      <w:r w:rsidRPr="00B37420">
        <w:rPr>
          <w:rFonts w:ascii="Verdana" w:hAnsi="Verdana"/>
          <w:sz w:val="20"/>
          <w:szCs w:val="20"/>
          <w:lang w:val="fr-FR"/>
        </w:rPr>
        <w:tab/>
      </w:r>
      <w:r w:rsidRPr="00B37420">
        <w:rPr>
          <w:rFonts w:ascii="Verdana" w:hAnsi="Verdana"/>
          <w:sz w:val="20"/>
          <w:szCs w:val="20"/>
          <w:lang w:val="fr-FR"/>
        </w:rPr>
        <w:tab/>
        <w:t>huissier de justice,</w:t>
      </w:r>
      <w:r w:rsidRPr="00B37420">
        <w:rPr>
          <w:rFonts w:ascii="Verdana" w:hAnsi="Verdana"/>
          <w:sz w:val="20"/>
          <w:szCs w:val="20"/>
          <w:lang w:val="fr-FR"/>
        </w:rPr>
        <w:tab/>
      </w:r>
      <w:r w:rsidRPr="00B37420">
        <w:rPr>
          <w:rFonts w:ascii="Verdana" w:hAnsi="Verdana"/>
          <w:sz w:val="20"/>
          <w:szCs w:val="20"/>
          <w:lang w:val="fr-FR"/>
        </w:rPr>
        <w:tab/>
      </w:r>
      <w:r w:rsidRPr="00B37420">
        <w:rPr>
          <w:rFonts w:ascii="Verdana" w:hAnsi="Verdana"/>
          <w:sz w:val="20"/>
          <w:szCs w:val="20"/>
          <w:lang w:val="fr-FR"/>
        </w:rPr>
        <w:tab/>
      </w:r>
      <w:r w:rsidRPr="00B37420">
        <w:rPr>
          <w:rFonts w:ascii="Verdana" w:hAnsi="Verdana"/>
          <w:sz w:val="20"/>
          <w:szCs w:val="20"/>
          <w:lang w:val="fr-FR"/>
        </w:rPr>
        <w:tab/>
      </w:r>
      <w:r w:rsidRPr="00B37420">
        <w:rPr>
          <w:rFonts w:ascii="Verdana" w:hAnsi="Verdana"/>
          <w:sz w:val="20"/>
          <w:szCs w:val="20"/>
          <w:lang w:val="fr-FR"/>
        </w:rPr>
        <w:tab/>
      </w:r>
      <w:r w:rsidRPr="00B37420">
        <w:rPr>
          <w:rFonts w:ascii="Verdana" w:hAnsi="Verdana"/>
          <w:sz w:val="20"/>
          <w:szCs w:val="20"/>
          <w:lang w:val="fr-FR"/>
        </w:rPr>
        <w:tab/>
      </w:r>
      <w:r w:rsidRPr="00B37420">
        <w:rPr>
          <w:rFonts w:ascii="Verdana" w:hAnsi="Verdana"/>
          <w:sz w:val="20"/>
          <w:szCs w:val="20"/>
          <w:lang w:val="fr-FR"/>
        </w:rPr>
        <w:tab/>
      </w:r>
    </w:p>
    <w:p w14:paraId="005A302E" w14:textId="27AFBC4B" w:rsidR="00687498" w:rsidRDefault="00687498" w:rsidP="00C03246">
      <w:pPr>
        <w:spacing w:after="0" w:line="20" w:lineRule="atLeast"/>
        <w:jc w:val="both"/>
        <w:rPr>
          <w:rFonts w:ascii="Verdana" w:hAnsi="Verdana"/>
          <w:b/>
          <w:bCs/>
          <w:sz w:val="20"/>
          <w:szCs w:val="20"/>
          <w:lang w:val="fr-FR"/>
        </w:rPr>
      </w:pPr>
      <w:r w:rsidRPr="00B37420">
        <w:rPr>
          <w:rFonts w:ascii="Verdana" w:hAnsi="Verdana"/>
          <w:b/>
          <w:bCs/>
          <w:sz w:val="20"/>
          <w:szCs w:val="20"/>
          <w:lang w:val="fr-FR"/>
        </w:rPr>
        <w:t>A SERVI UNE ASSIGNATION À COMPARAÎTRE</w:t>
      </w:r>
      <w:r w:rsidR="00205016">
        <w:rPr>
          <w:rFonts w:ascii="Verdana" w:hAnsi="Verdana"/>
          <w:b/>
          <w:bCs/>
          <w:sz w:val="20"/>
          <w:szCs w:val="20"/>
          <w:lang w:val="fr-FR"/>
        </w:rPr>
        <w:t xml:space="preserve"> A</w:t>
      </w:r>
      <w:r w:rsidRPr="00B37420">
        <w:rPr>
          <w:rFonts w:ascii="Verdana" w:hAnsi="Verdana"/>
          <w:b/>
          <w:bCs/>
          <w:sz w:val="20"/>
          <w:szCs w:val="20"/>
          <w:lang w:val="fr-FR"/>
        </w:rPr>
        <w:t xml:space="preserve"> :</w:t>
      </w:r>
    </w:p>
    <w:p w14:paraId="1BD7402C" w14:textId="77777777" w:rsidR="005B680F" w:rsidRPr="00B37420" w:rsidRDefault="005B680F" w:rsidP="00C03246">
      <w:pPr>
        <w:spacing w:after="0" w:line="20" w:lineRule="atLeast"/>
        <w:jc w:val="both"/>
        <w:rPr>
          <w:rFonts w:ascii="Verdana" w:hAnsi="Verdana"/>
          <w:b/>
          <w:bCs/>
          <w:sz w:val="20"/>
          <w:szCs w:val="20"/>
          <w:lang w:val="fr-FR"/>
        </w:rPr>
      </w:pPr>
    </w:p>
    <w:p w14:paraId="4A88B072" w14:textId="1DB0786A" w:rsidR="00687498" w:rsidRPr="00B37420" w:rsidRDefault="007E60E0" w:rsidP="005B680F">
      <w:pPr>
        <w:pStyle w:val="Paragraphedeliste"/>
        <w:numPr>
          <w:ilvl w:val="0"/>
          <w:numId w:val="3"/>
        </w:numPr>
        <w:spacing w:after="0" w:line="20" w:lineRule="atLeast"/>
        <w:ind w:left="720"/>
        <w:jc w:val="both"/>
        <w:rPr>
          <w:rFonts w:ascii="Verdana" w:hAnsi="Verdana"/>
          <w:sz w:val="20"/>
          <w:szCs w:val="20"/>
          <w:lang w:val="fr-FR"/>
        </w:rPr>
      </w:pPr>
      <w:r w:rsidRPr="00B37420">
        <w:rPr>
          <w:rFonts w:ascii="Verdana" w:hAnsi="Verdana"/>
          <w:bCs/>
          <w:sz w:val="20"/>
          <w:szCs w:val="20"/>
          <w:lang w:val="fr-FR"/>
        </w:rPr>
        <w:t xml:space="preserve">La </w:t>
      </w:r>
      <w:r w:rsidR="00205016">
        <w:rPr>
          <w:rFonts w:ascii="Verdana" w:hAnsi="Verdana"/>
          <w:b/>
          <w:sz w:val="20"/>
          <w:szCs w:val="20"/>
          <w:u w:val="single"/>
          <w:lang w:val="fr-FR"/>
        </w:rPr>
        <w:t>REGION FLAMANDE</w:t>
      </w:r>
      <w:r w:rsidRPr="00B37420">
        <w:rPr>
          <w:rFonts w:ascii="Verdana" w:hAnsi="Verdana"/>
          <w:sz w:val="20"/>
          <w:szCs w:val="20"/>
          <w:lang w:val="fr-FR"/>
        </w:rPr>
        <w:t>, avec des bureaux à</w:t>
      </w:r>
    </w:p>
    <w:p w14:paraId="50BF7B31" w14:textId="77777777" w:rsidR="007E60E0" w:rsidRPr="00B37420" w:rsidRDefault="007E60E0" w:rsidP="005B680F">
      <w:pPr>
        <w:pStyle w:val="Paragraphedeliste"/>
        <w:spacing w:after="0" w:line="20" w:lineRule="atLeast"/>
        <w:jc w:val="both"/>
        <w:rPr>
          <w:rFonts w:ascii="Verdana" w:hAnsi="Verdana"/>
          <w:sz w:val="20"/>
          <w:szCs w:val="20"/>
          <w:lang w:val="fr-FR"/>
        </w:rPr>
      </w:pPr>
    </w:p>
    <w:p w14:paraId="467B242D" w14:textId="238391E4" w:rsidR="007E60E0" w:rsidRPr="00B37420" w:rsidRDefault="007E60E0" w:rsidP="005B680F">
      <w:pPr>
        <w:pStyle w:val="Paragraphedeliste"/>
        <w:numPr>
          <w:ilvl w:val="0"/>
          <w:numId w:val="3"/>
        </w:numPr>
        <w:spacing w:after="0" w:line="20" w:lineRule="atLeast"/>
        <w:ind w:left="720"/>
        <w:jc w:val="both"/>
        <w:rPr>
          <w:rFonts w:ascii="Verdana" w:hAnsi="Verdana"/>
          <w:bCs/>
          <w:sz w:val="20"/>
          <w:szCs w:val="20"/>
          <w:lang w:val="fr-FR"/>
        </w:rPr>
      </w:pPr>
      <w:r w:rsidRPr="00B37420">
        <w:rPr>
          <w:rFonts w:ascii="Verdana" w:hAnsi="Verdana"/>
          <w:bCs/>
          <w:sz w:val="20"/>
          <w:szCs w:val="20"/>
          <w:lang w:val="fr-FR"/>
        </w:rPr>
        <w:t>L</w:t>
      </w:r>
      <w:r w:rsidR="00205016">
        <w:rPr>
          <w:rFonts w:ascii="Verdana" w:hAnsi="Verdana"/>
          <w:bCs/>
          <w:sz w:val="20"/>
          <w:szCs w:val="20"/>
          <w:lang w:val="fr-FR"/>
        </w:rPr>
        <w:t xml:space="preserve">a </w:t>
      </w:r>
      <w:r w:rsidR="00205016" w:rsidRPr="00205016">
        <w:rPr>
          <w:rFonts w:ascii="Verdana" w:hAnsi="Verdana"/>
          <w:b/>
          <w:bCs/>
          <w:sz w:val="20"/>
          <w:szCs w:val="20"/>
          <w:u w:val="single"/>
          <w:lang w:val="fr-FR"/>
        </w:rPr>
        <w:t>REGION DE BRUXELLES-CAPITALE</w:t>
      </w:r>
      <w:r w:rsidRPr="00B37420">
        <w:rPr>
          <w:rFonts w:ascii="Verdana" w:hAnsi="Verdana"/>
          <w:bCs/>
          <w:sz w:val="20"/>
          <w:szCs w:val="20"/>
          <w:lang w:val="fr-FR"/>
        </w:rPr>
        <w:t xml:space="preserve">, dont les bureaux sont situés à </w:t>
      </w:r>
    </w:p>
    <w:p w14:paraId="49A9E7AE" w14:textId="77777777" w:rsidR="002B43C6" w:rsidRPr="00B37420" w:rsidRDefault="002B43C6" w:rsidP="00C03246">
      <w:pPr>
        <w:pStyle w:val="Paragraphedeliste"/>
        <w:spacing w:after="0" w:line="20" w:lineRule="atLeast"/>
        <w:ind w:left="0"/>
        <w:jc w:val="both"/>
        <w:rPr>
          <w:rFonts w:ascii="Verdana" w:hAnsi="Verdana"/>
          <w:bCs/>
          <w:sz w:val="20"/>
          <w:szCs w:val="20"/>
          <w:lang w:val="fr-FR"/>
        </w:rPr>
      </w:pPr>
    </w:p>
    <w:p w14:paraId="1F8D844C" w14:textId="77777777" w:rsidR="00687498" w:rsidRPr="00B37420" w:rsidRDefault="00687498" w:rsidP="00C03246">
      <w:pPr>
        <w:spacing w:after="0" w:line="20" w:lineRule="atLeast"/>
        <w:jc w:val="both"/>
        <w:rPr>
          <w:rFonts w:ascii="Verdana" w:hAnsi="Verdana"/>
          <w:sz w:val="20"/>
          <w:szCs w:val="20"/>
          <w:lang w:val="fr-FR"/>
        </w:rPr>
      </w:pPr>
      <w:r w:rsidRPr="00B37420">
        <w:rPr>
          <w:rFonts w:ascii="Verdana" w:hAnsi="Verdana"/>
          <w:sz w:val="20"/>
          <w:szCs w:val="20"/>
          <w:lang w:val="fr-FR"/>
        </w:rPr>
        <w:t xml:space="preserve">où j'étais et j'ai parlé à </w:t>
      </w:r>
    </w:p>
    <w:p w14:paraId="35FA04EC" w14:textId="441BDB5C" w:rsidR="00687498" w:rsidRPr="00B37420" w:rsidRDefault="00687498" w:rsidP="00C03246">
      <w:pPr>
        <w:spacing w:after="0" w:line="20" w:lineRule="atLeast"/>
        <w:jc w:val="both"/>
        <w:rPr>
          <w:rFonts w:ascii="Verdana" w:hAnsi="Verdana"/>
          <w:sz w:val="20"/>
          <w:szCs w:val="20"/>
          <w:lang w:val="fr-FR"/>
        </w:rPr>
      </w:pPr>
      <w:r w:rsidRPr="00B37420">
        <w:rPr>
          <w:rFonts w:ascii="Verdana" w:hAnsi="Verdana"/>
          <w:sz w:val="20"/>
          <w:szCs w:val="20"/>
          <w:lang w:val="fr-FR"/>
        </w:rPr>
        <w:t>ainsi déclaré qui (</w:t>
      </w:r>
      <w:r w:rsidR="007A59B1">
        <w:rPr>
          <w:rFonts w:ascii="Verdana" w:hAnsi="Verdana"/>
          <w:sz w:val="20"/>
          <w:szCs w:val="20"/>
          <w:lang w:val="fr-FR"/>
        </w:rPr>
        <w:t>ne</w:t>
      </w:r>
      <w:r w:rsidRPr="00B37420">
        <w:rPr>
          <w:rFonts w:ascii="Verdana" w:hAnsi="Verdana"/>
          <w:sz w:val="20"/>
          <w:szCs w:val="20"/>
          <w:lang w:val="fr-FR"/>
        </w:rPr>
        <w:t xml:space="preserve">) signe </w:t>
      </w:r>
      <w:r w:rsidR="007A59B1">
        <w:rPr>
          <w:rFonts w:ascii="Verdana" w:hAnsi="Verdana"/>
          <w:sz w:val="20"/>
          <w:szCs w:val="20"/>
          <w:lang w:val="fr-FR"/>
        </w:rPr>
        <w:t xml:space="preserve">(pas) </w:t>
      </w:r>
      <w:r w:rsidRPr="00B37420">
        <w:rPr>
          <w:rFonts w:ascii="Verdana" w:hAnsi="Verdana"/>
          <w:sz w:val="20"/>
          <w:szCs w:val="20"/>
          <w:lang w:val="fr-FR"/>
        </w:rPr>
        <w:t>pour la réception de la copie</w:t>
      </w:r>
    </w:p>
    <w:p w14:paraId="1337D8ED" w14:textId="77777777" w:rsidR="00687498" w:rsidRPr="00B37420" w:rsidRDefault="00687498" w:rsidP="00C03246">
      <w:pPr>
        <w:spacing w:after="0" w:line="20" w:lineRule="atLeast"/>
        <w:jc w:val="both"/>
        <w:rPr>
          <w:rFonts w:ascii="Verdana" w:hAnsi="Verdana"/>
          <w:sz w:val="20"/>
          <w:szCs w:val="20"/>
          <w:lang w:val="fr-FR"/>
        </w:rPr>
      </w:pPr>
    </w:p>
    <w:p w14:paraId="6089BA10" w14:textId="0980A2D6" w:rsidR="00687498" w:rsidRPr="00B37420" w:rsidRDefault="00205016" w:rsidP="00C03246">
      <w:pPr>
        <w:spacing w:after="0" w:line="20" w:lineRule="atLeast"/>
        <w:jc w:val="both"/>
        <w:rPr>
          <w:rFonts w:ascii="Verdana" w:hAnsi="Verdana"/>
          <w:sz w:val="20"/>
          <w:szCs w:val="20"/>
          <w:lang w:val="fr-FR"/>
        </w:rPr>
      </w:pPr>
      <w:r>
        <w:rPr>
          <w:rFonts w:ascii="Verdana" w:hAnsi="Verdana"/>
          <w:sz w:val="20"/>
          <w:szCs w:val="20"/>
          <w:lang w:val="fr-FR"/>
        </w:rPr>
        <w:t xml:space="preserve">pour </w:t>
      </w:r>
      <w:r w:rsidR="00687498" w:rsidRPr="00B37420">
        <w:rPr>
          <w:rFonts w:ascii="Verdana" w:hAnsi="Verdana"/>
          <w:sz w:val="20"/>
          <w:szCs w:val="20"/>
          <w:lang w:val="fr-FR"/>
        </w:rPr>
        <w:t>comparaître le {date} à {heure}</w:t>
      </w:r>
      <w:r w:rsidR="00687498" w:rsidRPr="00B37420">
        <w:rPr>
          <w:rFonts w:ascii="Verdana" w:hAnsi="Verdana"/>
          <w:b/>
          <w:bCs/>
          <w:sz w:val="20"/>
          <w:szCs w:val="20"/>
          <w:lang w:val="fr-FR"/>
        </w:rPr>
        <w:t xml:space="preserve">, devant </w:t>
      </w:r>
      <w:r w:rsidR="007E60E0" w:rsidRPr="00B37420">
        <w:rPr>
          <w:rFonts w:ascii="Verdana" w:hAnsi="Verdana"/>
          <w:b/>
          <w:bCs/>
          <w:sz w:val="20"/>
          <w:szCs w:val="20"/>
          <w:lang w:val="fr-FR"/>
        </w:rPr>
        <w:t>le tribunal de première instance néerlandophone de Bruxelles</w:t>
      </w:r>
      <w:r w:rsidR="007E60E0" w:rsidRPr="00B37420">
        <w:rPr>
          <w:rFonts w:ascii="Verdana" w:hAnsi="Verdana"/>
          <w:sz w:val="20"/>
          <w:szCs w:val="20"/>
          <w:lang w:val="fr-FR"/>
        </w:rPr>
        <w:t xml:space="preserve">, </w:t>
      </w:r>
      <w:r w:rsidR="00687498" w:rsidRPr="00B37420">
        <w:rPr>
          <w:rFonts w:ascii="Verdana" w:hAnsi="Verdana"/>
          <w:sz w:val="20"/>
          <w:szCs w:val="20"/>
          <w:lang w:val="fr-FR"/>
        </w:rPr>
        <w:t>siégeant au palais de justice à l'adresse suivante</w:t>
      </w:r>
    </w:p>
    <w:p w14:paraId="708D6251" w14:textId="77777777" w:rsidR="00687498" w:rsidRPr="00B37420" w:rsidRDefault="00687498" w:rsidP="00C03246">
      <w:pPr>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B37420">
        <w:rPr>
          <w:rFonts w:ascii="Verdana" w:eastAsia="Times New Roman" w:hAnsi="Verdana" w:cs="Garamond"/>
          <w:spacing w:val="-3"/>
          <w:sz w:val="20"/>
          <w:szCs w:val="20"/>
          <w:lang w:val="fr-FR" w:eastAsia="nl-BE"/>
        </w:rPr>
        <w:t>d'entendre et de déterminer la réparation demandée par la présente demande ; et :</w:t>
      </w:r>
    </w:p>
    <w:p w14:paraId="7B01C26C" w14:textId="45979509" w:rsidR="00CC05F2" w:rsidRPr="00B37420" w:rsidRDefault="00CC05F2" w:rsidP="00C03246">
      <w:pPr>
        <w:spacing w:after="0" w:line="20" w:lineRule="atLeast"/>
        <w:jc w:val="both"/>
        <w:rPr>
          <w:rFonts w:ascii="Verdana" w:eastAsia="Times New Roman" w:hAnsi="Verdana" w:cs="Garamond"/>
          <w:spacing w:val="-3"/>
          <w:sz w:val="20"/>
          <w:szCs w:val="20"/>
          <w:lang w:val="fr-FR" w:eastAsia="nl-BE"/>
        </w:rPr>
      </w:pPr>
      <w:r w:rsidRPr="00B37420">
        <w:rPr>
          <w:rFonts w:ascii="Verdana" w:eastAsia="Times New Roman" w:hAnsi="Verdana" w:cs="Garamond"/>
          <w:spacing w:val="-3"/>
          <w:sz w:val="20"/>
          <w:szCs w:val="20"/>
          <w:lang w:val="fr-FR" w:eastAsia="nl-BE"/>
        </w:rPr>
        <w:br w:type="page"/>
      </w:r>
    </w:p>
    <w:p w14:paraId="633D4199" w14:textId="77777777" w:rsidR="00687498" w:rsidRPr="00B37420"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182005F2" w14:textId="42B57007" w:rsidR="00B8729C" w:rsidRPr="00B37420" w:rsidRDefault="00CC05F2"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b/>
          <w:bCs/>
          <w:spacing w:val="-3"/>
          <w:sz w:val="20"/>
          <w:szCs w:val="20"/>
          <w:u w:val="single"/>
          <w:lang w:val="fr-FR" w:eastAsia="nl-BE"/>
        </w:rPr>
      </w:pPr>
      <w:r w:rsidRPr="00B37420">
        <w:rPr>
          <w:rFonts w:ascii="Verdana" w:eastAsia="Times New Roman" w:hAnsi="Verdana" w:cs="Garamond"/>
          <w:b/>
          <w:bCs/>
          <w:spacing w:val="-3"/>
          <w:sz w:val="20"/>
          <w:szCs w:val="20"/>
          <w:u w:val="single"/>
          <w:lang w:val="fr-FR" w:eastAsia="nl-BE"/>
        </w:rPr>
        <w:t>I</w:t>
      </w:r>
      <w:r w:rsidR="00F86662" w:rsidRPr="00B37420">
        <w:rPr>
          <w:rFonts w:ascii="Verdana" w:eastAsia="Times New Roman" w:hAnsi="Verdana" w:cs="Garamond"/>
          <w:b/>
          <w:bCs/>
          <w:spacing w:val="-3"/>
          <w:sz w:val="20"/>
          <w:szCs w:val="20"/>
          <w:u w:val="single"/>
          <w:lang w:val="fr-FR" w:eastAsia="nl-BE"/>
        </w:rPr>
        <w:t>. INTRODUCTION AUX NORMES DE RADIATION</w:t>
      </w:r>
    </w:p>
    <w:p w14:paraId="3FACF4F1" w14:textId="77777777" w:rsidR="00F86662" w:rsidRPr="00B37420" w:rsidRDefault="00F86662"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0D8C92F6" w14:textId="65841B81" w:rsidR="00687498" w:rsidRPr="00B37420"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B37420">
        <w:rPr>
          <w:rFonts w:ascii="Verdana" w:eastAsia="Times New Roman" w:hAnsi="Verdana" w:cs="Garamond"/>
          <w:spacing w:val="-3"/>
          <w:sz w:val="20"/>
          <w:szCs w:val="20"/>
          <w:lang w:val="fr-FR" w:eastAsia="nl-BE"/>
        </w:rPr>
        <w:t>1.</w:t>
      </w:r>
    </w:p>
    <w:p w14:paraId="4D8D900B" w14:textId="77777777" w:rsidR="00181C82" w:rsidRDefault="007A59B1" w:rsidP="00C03246">
      <w:pPr>
        <w:spacing w:after="0" w:line="20" w:lineRule="atLeast"/>
        <w:jc w:val="both"/>
        <w:rPr>
          <w:rFonts w:ascii="Verdana" w:hAnsi="Verdana"/>
          <w:sz w:val="20"/>
          <w:szCs w:val="20"/>
          <w:lang w:val="fr-FR"/>
        </w:rPr>
      </w:pPr>
      <w:r w:rsidRPr="007A59B1">
        <w:rPr>
          <w:rFonts w:ascii="Verdana" w:hAnsi="Verdana"/>
          <w:sz w:val="20"/>
          <w:szCs w:val="20"/>
          <w:lang w:val="fr-FR"/>
        </w:rPr>
        <w:t>Le 29 avril 2001, le gouvernement fédéral a publié pour la première fois un "arrêté royal fixant la norme pour les antennes émettant des ondes électromagnétiques entre 10 MHz et 10 GHz". Cet arrêté a été annulé par le Conseil d'État le 15 novembre 2004 parce que le projet modifié n'avait pas été soumis à l'avis du Conseil supérieur de la santé</w:t>
      </w:r>
      <w:r w:rsidR="00181C82">
        <w:rPr>
          <w:rFonts w:ascii="Verdana" w:hAnsi="Verdana"/>
          <w:sz w:val="20"/>
          <w:szCs w:val="20"/>
          <w:lang w:val="fr-FR"/>
        </w:rPr>
        <w:t>.</w:t>
      </w:r>
    </w:p>
    <w:p w14:paraId="3C3B9606" w14:textId="40A32349" w:rsidR="007A59B1" w:rsidRPr="007A59B1" w:rsidRDefault="007A59B1" w:rsidP="00C03246">
      <w:pPr>
        <w:spacing w:after="0" w:line="20" w:lineRule="atLeast"/>
        <w:jc w:val="both"/>
        <w:rPr>
          <w:rFonts w:ascii="Verdana" w:hAnsi="Verdana"/>
          <w:sz w:val="20"/>
          <w:szCs w:val="20"/>
          <w:lang w:val="fr-FR"/>
        </w:rPr>
      </w:pPr>
      <w:r w:rsidRPr="007A59B1">
        <w:rPr>
          <w:rFonts w:ascii="Verdana" w:hAnsi="Verdana"/>
          <w:sz w:val="20"/>
          <w:szCs w:val="20"/>
          <w:lang w:val="fr-FR"/>
        </w:rPr>
        <w:t xml:space="preserve"> </w:t>
      </w:r>
    </w:p>
    <w:p w14:paraId="54F73254" w14:textId="4ADBDEBF" w:rsidR="007A59B1" w:rsidRDefault="007A59B1" w:rsidP="00C03246">
      <w:pPr>
        <w:spacing w:after="0" w:line="20" w:lineRule="atLeast"/>
        <w:jc w:val="both"/>
        <w:rPr>
          <w:rFonts w:ascii="Verdana" w:hAnsi="Verdana"/>
          <w:sz w:val="20"/>
          <w:szCs w:val="20"/>
          <w:lang w:val="fr-FR"/>
        </w:rPr>
      </w:pPr>
      <w:r w:rsidRPr="007A59B1">
        <w:rPr>
          <w:rFonts w:ascii="Verdana" w:hAnsi="Verdana"/>
          <w:sz w:val="20"/>
          <w:szCs w:val="20"/>
          <w:lang w:val="fr-FR"/>
        </w:rPr>
        <w:t>Le 10 août 2005, le gouvernement fédéral a publié un nouvel arrêté royal dont le cont</w:t>
      </w:r>
      <w:r w:rsidRPr="007A59B1">
        <w:rPr>
          <w:rFonts w:ascii="Verdana" w:hAnsi="Verdana"/>
          <w:sz w:val="20"/>
          <w:szCs w:val="20"/>
          <w:lang w:val="fr-FR"/>
        </w:rPr>
        <w:t>e</w:t>
      </w:r>
      <w:r w:rsidRPr="007A59B1">
        <w:rPr>
          <w:rFonts w:ascii="Verdana" w:hAnsi="Verdana"/>
          <w:sz w:val="20"/>
          <w:szCs w:val="20"/>
          <w:lang w:val="fr-FR"/>
        </w:rPr>
        <w:t>nu était presque identique. Cet arrêté royal (AR) a, à son tour, été annulé par le Conseil d'État le 20 mai 2009 car ce sont les régions, et non le gouvernement fédéral, qui sont compétentes pour la protection de la population contre les rayonnements électromagn</w:t>
      </w:r>
      <w:r w:rsidRPr="007A59B1">
        <w:rPr>
          <w:rFonts w:ascii="Verdana" w:hAnsi="Verdana"/>
          <w:sz w:val="20"/>
          <w:szCs w:val="20"/>
          <w:lang w:val="fr-FR"/>
        </w:rPr>
        <w:t>é</w:t>
      </w:r>
      <w:r w:rsidRPr="007A59B1">
        <w:rPr>
          <w:rFonts w:ascii="Verdana" w:hAnsi="Verdana"/>
          <w:sz w:val="20"/>
          <w:szCs w:val="20"/>
          <w:lang w:val="fr-FR"/>
        </w:rPr>
        <w:t>tiques.</w:t>
      </w:r>
    </w:p>
    <w:p w14:paraId="6FFD1CAD" w14:textId="77777777" w:rsidR="00181C82" w:rsidRPr="007A59B1" w:rsidRDefault="00181C82" w:rsidP="00C03246">
      <w:pPr>
        <w:spacing w:after="0" w:line="20" w:lineRule="atLeast"/>
        <w:jc w:val="both"/>
        <w:rPr>
          <w:rFonts w:ascii="Verdana" w:hAnsi="Verdana"/>
          <w:sz w:val="20"/>
          <w:szCs w:val="20"/>
          <w:lang w:val="fr-FR"/>
        </w:rPr>
      </w:pPr>
    </w:p>
    <w:p w14:paraId="35C06D33" w14:textId="2A52ABAA" w:rsidR="00687498" w:rsidRPr="00B37420" w:rsidRDefault="007A59B1" w:rsidP="00C03246">
      <w:pPr>
        <w:spacing w:after="0" w:line="20" w:lineRule="atLeast"/>
        <w:jc w:val="both"/>
        <w:rPr>
          <w:rFonts w:ascii="Verdana" w:hAnsi="Verdana"/>
          <w:sz w:val="20"/>
          <w:szCs w:val="20"/>
          <w:lang w:val="fr-FR"/>
        </w:rPr>
      </w:pPr>
      <w:r w:rsidRPr="007A59B1">
        <w:rPr>
          <w:rFonts w:ascii="Verdana" w:hAnsi="Verdana"/>
          <w:sz w:val="20"/>
          <w:szCs w:val="20"/>
          <w:lang w:val="fr-FR"/>
        </w:rPr>
        <w:t>Dans son arrêt du 15 janvier 2009, la Cour constitutionnelle avait en effet jugé que sur la base de l'article 6, alinéa 1 de la loi spéciale du 8 août 1980, la compétence régionale inclut le pouvoir de prendre des mesures de prévention et de limitation des risques liés aux radiations non ionisantes, y compris la limitation de l'exposition de l’homme au risque de propagation de ces radiations dans son environnement.</w:t>
      </w:r>
    </w:p>
    <w:p w14:paraId="0B36BDEE" w14:textId="77777777" w:rsidR="00B8729C" w:rsidRPr="00B37420" w:rsidRDefault="00B8729C" w:rsidP="00C03246">
      <w:pPr>
        <w:pStyle w:val="Sansinterligne"/>
        <w:spacing w:line="20" w:lineRule="atLeast"/>
        <w:jc w:val="both"/>
        <w:rPr>
          <w:lang w:val="fr-FR"/>
        </w:rPr>
      </w:pPr>
    </w:p>
    <w:p w14:paraId="7F2EB473" w14:textId="77777777" w:rsidR="00B8729C" w:rsidRPr="00B37420" w:rsidRDefault="00B8729C"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2.</w:t>
      </w:r>
    </w:p>
    <w:p w14:paraId="3E9514B3" w14:textId="75354971" w:rsidR="008618EB" w:rsidRPr="00B37420" w:rsidRDefault="00B8729C"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 xml:space="preserve">À la suite de </w:t>
      </w:r>
      <w:r w:rsidR="008618EB" w:rsidRPr="00B37420">
        <w:rPr>
          <w:rFonts w:ascii="Verdana" w:hAnsi="Verdana"/>
          <w:sz w:val="20"/>
          <w:szCs w:val="20"/>
          <w:lang w:val="fr-FR"/>
        </w:rPr>
        <w:t xml:space="preserve">ce jugement, </w:t>
      </w:r>
      <w:r w:rsidRPr="00B37420">
        <w:rPr>
          <w:rFonts w:ascii="Verdana" w:hAnsi="Verdana"/>
          <w:sz w:val="20"/>
          <w:szCs w:val="20"/>
          <w:lang w:val="fr-FR"/>
        </w:rPr>
        <w:t>les régions ont dû publier leurs propres normes de radiation.</w:t>
      </w:r>
    </w:p>
    <w:p w14:paraId="2ED91EC4" w14:textId="77777777" w:rsidR="00B8729C" w:rsidRPr="00B37420" w:rsidRDefault="00B8729C" w:rsidP="00C03246">
      <w:pPr>
        <w:spacing w:after="0" w:line="20" w:lineRule="atLeast"/>
        <w:jc w:val="both"/>
        <w:rPr>
          <w:rFonts w:ascii="Verdana" w:hAnsi="Verdana"/>
          <w:sz w:val="20"/>
          <w:szCs w:val="20"/>
          <w:lang w:val="fr-FR"/>
        </w:rPr>
      </w:pPr>
    </w:p>
    <w:p w14:paraId="5AF3CD55" w14:textId="4D71364C" w:rsidR="007A59B1" w:rsidRPr="007A59B1" w:rsidRDefault="007A59B1" w:rsidP="008857B2">
      <w:pPr>
        <w:pStyle w:val="Paragraphedeliste"/>
        <w:numPr>
          <w:ilvl w:val="0"/>
          <w:numId w:val="7"/>
        </w:numPr>
        <w:spacing w:after="0" w:line="20" w:lineRule="atLeast"/>
        <w:ind w:left="360"/>
        <w:jc w:val="both"/>
        <w:rPr>
          <w:rFonts w:ascii="Verdana" w:hAnsi="Verdana"/>
          <w:sz w:val="20"/>
          <w:szCs w:val="20"/>
          <w:lang w:val="fr-FR"/>
        </w:rPr>
      </w:pPr>
      <w:r w:rsidRPr="007A59B1">
        <w:rPr>
          <w:rFonts w:ascii="Verdana" w:hAnsi="Verdana"/>
          <w:sz w:val="20"/>
          <w:szCs w:val="20"/>
          <w:lang w:val="fr-FR"/>
        </w:rPr>
        <w:t>Dans la Région de Bruxelles-Capitale, une ordonnance relative à la protection de l'e</w:t>
      </w:r>
      <w:r w:rsidRPr="007A59B1">
        <w:rPr>
          <w:rFonts w:ascii="Verdana" w:hAnsi="Verdana"/>
          <w:sz w:val="20"/>
          <w:szCs w:val="20"/>
          <w:lang w:val="fr-FR"/>
        </w:rPr>
        <w:t>n</w:t>
      </w:r>
      <w:r w:rsidRPr="007A59B1">
        <w:rPr>
          <w:rFonts w:ascii="Verdana" w:hAnsi="Verdana"/>
          <w:sz w:val="20"/>
          <w:szCs w:val="20"/>
          <w:lang w:val="fr-FR"/>
        </w:rPr>
        <w:t>vironnement contre les éventuels effets nocifs et nuisances provoqués par les radi</w:t>
      </w:r>
      <w:r w:rsidRPr="007A59B1">
        <w:rPr>
          <w:rFonts w:ascii="Verdana" w:hAnsi="Verdana"/>
          <w:sz w:val="20"/>
          <w:szCs w:val="20"/>
          <w:lang w:val="fr-FR"/>
        </w:rPr>
        <w:t>a</w:t>
      </w:r>
      <w:r w:rsidRPr="007A59B1">
        <w:rPr>
          <w:rFonts w:ascii="Verdana" w:hAnsi="Verdana"/>
          <w:sz w:val="20"/>
          <w:szCs w:val="20"/>
          <w:lang w:val="fr-FR"/>
        </w:rPr>
        <w:t xml:space="preserve">tions non ionisantes est en vigueur depuis le 1er mars 2007. Elle fixe à 3 volts par mètre à 900 mégahertz la norme d'émission globale. </w:t>
      </w:r>
    </w:p>
    <w:p w14:paraId="56191EDA" w14:textId="77777777" w:rsidR="007A59B1" w:rsidRPr="007A59B1" w:rsidRDefault="007A59B1" w:rsidP="008857B2">
      <w:pPr>
        <w:pStyle w:val="Paragraphedeliste"/>
        <w:spacing w:after="0" w:line="20" w:lineRule="atLeast"/>
        <w:ind w:left="360"/>
        <w:jc w:val="both"/>
        <w:rPr>
          <w:rFonts w:ascii="Verdana" w:hAnsi="Verdana"/>
          <w:sz w:val="20"/>
          <w:szCs w:val="20"/>
          <w:lang w:val="fr-FR"/>
        </w:rPr>
      </w:pPr>
    </w:p>
    <w:p w14:paraId="1CC17D65" w14:textId="49DA3E4F" w:rsidR="007A59B1" w:rsidRDefault="007A59B1" w:rsidP="008857B2">
      <w:pPr>
        <w:pStyle w:val="Paragraphedeliste"/>
        <w:spacing w:after="0" w:line="20" w:lineRule="atLeast"/>
        <w:ind w:left="360"/>
        <w:jc w:val="both"/>
        <w:rPr>
          <w:rFonts w:ascii="Verdana" w:hAnsi="Verdana"/>
          <w:sz w:val="20"/>
          <w:szCs w:val="20"/>
          <w:lang w:val="fr-FR"/>
        </w:rPr>
      </w:pPr>
      <w:r w:rsidRPr="007A59B1">
        <w:rPr>
          <w:rFonts w:ascii="Verdana" w:hAnsi="Verdana"/>
          <w:sz w:val="20"/>
          <w:szCs w:val="20"/>
          <w:lang w:val="fr-FR"/>
        </w:rPr>
        <w:t>L'ordonnance de la Région de Bruxelles-Capitale du 3 avril 2014 a modifié l'ordo</w:t>
      </w:r>
      <w:r w:rsidRPr="007A59B1">
        <w:rPr>
          <w:rFonts w:ascii="Verdana" w:hAnsi="Verdana"/>
          <w:sz w:val="20"/>
          <w:szCs w:val="20"/>
          <w:lang w:val="fr-FR"/>
        </w:rPr>
        <w:t>n</w:t>
      </w:r>
      <w:r w:rsidRPr="007A59B1">
        <w:rPr>
          <w:rFonts w:ascii="Verdana" w:hAnsi="Verdana"/>
          <w:sz w:val="20"/>
          <w:szCs w:val="20"/>
          <w:lang w:val="fr-FR"/>
        </w:rPr>
        <w:t>nance du 1er mars 2007 relative à la protection de l'environnement contre les éve</w:t>
      </w:r>
      <w:r w:rsidRPr="007A59B1">
        <w:rPr>
          <w:rFonts w:ascii="Verdana" w:hAnsi="Verdana"/>
          <w:sz w:val="20"/>
          <w:szCs w:val="20"/>
          <w:lang w:val="fr-FR"/>
        </w:rPr>
        <w:t>n</w:t>
      </w:r>
      <w:r w:rsidRPr="007A59B1">
        <w:rPr>
          <w:rFonts w:ascii="Verdana" w:hAnsi="Verdana"/>
          <w:sz w:val="20"/>
          <w:szCs w:val="20"/>
          <w:lang w:val="fr-FR"/>
        </w:rPr>
        <w:t>tuels effets nocifs et nuisances provoqués par les radiations non ionisantes (Moniteur Belge - MB - du 30 avril 2014).</w:t>
      </w:r>
    </w:p>
    <w:p w14:paraId="5495327E" w14:textId="77777777" w:rsidR="007A59B1" w:rsidRPr="007A59B1" w:rsidRDefault="007A59B1" w:rsidP="008857B2">
      <w:pPr>
        <w:pStyle w:val="Paragraphedeliste"/>
        <w:spacing w:after="0" w:line="20" w:lineRule="atLeast"/>
        <w:ind w:left="360"/>
        <w:jc w:val="both"/>
        <w:rPr>
          <w:rFonts w:ascii="Verdana" w:hAnsi="Verdana"/>
          <w:sz w:val="20"/>
          <w:szCs w:val="20"/>
          <w:lang w:val="fr-FR"/>
        </w:rPr>
      </w:pPr>
    </w:p>
    <w:p w14:paraId="66C3B4D6" w14:textId="77777777" w:rsidR="007A59B1" w:rsidRDefault="007A59B1" w:rsidP="008857B2">
      <w:pPr>
        <w:pStyle w:val="Paragraphedeliste"/>
        <w:spacing w:after="0" w:line="20" w:lineRule="atLeast"/>
        <w:ind w:left="360"/>
        <w:jc w:val="both"/>
        <w:rPr>
          <w:rFonts w:ascii="Verdana" w:hAnsi="Verdana"/>
          <w:sz w:val="20"/>
          <w:szCs w:val="20"/>
          <w:lang w:val="fr-FR"/>
        </w:rPr>
      </w:pPr>
      <w:r w:rsidRPr="007A59B1">
        <w:rPr>
          <w:rFonts w:ascii="Verdana" w:hAnsi="Verdana"/>
          <w:sz w:val="20"/>
          <w:szCs w:val="20"/>
          <w:lang w:val="fr-FR"/>
        </w:rPr>
        <w:t>L'article 3, §1 de l'ordonnance stipule que, dans toutes les zones accessibles au p</w:t>
      </w:r>
      <w:r w:rsidRPr="007A59B1">
        <w:rPr>
          <w:rFonts w:ascii="Verdana" w:hAnsi="Verdana"/>
          <w:sz w:val="20"/>
          <w:szCs w:val="20"/>
          <w:lang w:val="fr-FR"/>
        </w:rPr>
        <w:t>u</w:t>
      </w:r>
      <w:r w:rsidRPr="007A59B1">
        <w:rPr>
          <w:rFonts w:ascii="Verdana" w:hAnsi="Verdana"/>
          <w:sz w:val="20"/>
          <w:szCs w:val="20"/>
          <w:lang w:val="fr-FR"/>
        </w:rPr>
        <w:t xml:space="preserve">blic, la densité de puissance du rayonnement des radiations non ionisantes ne peut dépasser, à aucun moment, la norme de 0,096 W/m² (soit, à titre indicatif, 6 V/m) </w:t>
      </w:r>
      <w:r>
        <w:rPr>
          <w:rFonts w:ascii="Verdana" w:hAnsi="Verdana"/>
          <w:sz w:val="20"/>
          <w:szCs w:val="20"/>
          <w:lang w:val="fr-FR"/>
        </w:rPr>
        <w:t>à une fréquence de référence de 900 MHz.</w:t>
      </w:r>
    </w:p>
    <w:p w14:paraId="45F44A42" w14:textId="7CFD5CC4" w:rsidR="007A59B1" w:rsidRPr="007A59B1" w:rsidRDefault="007A59B1" w:rsidP="008857B2">
      <w:pPr>
        <w:pStyle w:val="Paragraphedeliste"/>
        <w:spacing w:after="0" w:line="20" w:lineRule="atLeast"/>
        <w:ind w:left="360"/>
        <w:jc w:val="both"/>
        <w:rPr>
          <w:rFonts w:ascii="Verdana" w:hAnsi="Verdana"/>
          <w:sz w:val="20"/>
          <w:szCs w:val="20"/>
          <w:lang w:val="fr-FR"/>
        </w:rPr>
      </w:pPr>
    </w:p>
    <w:p w14:paraId="47D19327" w14:textId="5D133B66" w:rsidR="007A59B1" w:rsidRDefault="007A59B1" w:rsidP="008857B2">
      <w:pPr>
        <w:pStyle w:val="Paragraphedeliste"/>
        <w:numPr>
          <w:ilvl w:val="0"/>
          <w:numId w:val="7"/>
        </w:numPr>
        <w:spacing w:after="0" w:line="20" w:lineRule="atLeast"/>
        <w:ind w:left="360"/>
        <w:jc w:val="both"/>
        <w:rPr>
          <w:rFonts w:ascii="Verdana" w:hAnsi="Verdana"/>
          <w:sz w:val="20"/>
          <w:szCs w:val="20"/>
          <w:lang w:val="fr-FR"/>
        </w:rPr>
      </w:pPr>
      <w:r w:rsidRPr="007A59B1">
        <w:rPr>
          <w:rFonts w:ascii="Verdana" w:hAnsi="Verdana"/>
          <w:sz w:val="20"/>
          <w:szCs w:val="20"/>
          <w:lang w:val="fr-FR"/>
        </w:rPr>
        <w:t>En Région flamande, les normes ont été établies par Arrêté du Gouvernement fl</w:t>
      </w:r>
      <w:r w:rsidRPr="007A59B1">
        <w:rPr>
          <w:rFonts w:ascii="Verdana" w:hAnsi="Verdana"/>
          <w:sz w:val="20"/>
          <w:szCs w:val="20"/>
          <w:lang w:val="fr-FR"/>
        </w:rPr>
        <w:t>a</w:t>
      </w:r>
      <w:r w:rsidRPr="007A59B1">
        <w:rPr>
          <w:rFonts w:ascii="Verdana" w:hAnsi="Verdana"/>
          <w:sz w:val="20"/>
          <w:szCs w:val="20"/>
          <w:lang w:val="fr-FR"/>
        </w:rPr>
        <w:t>mand du 19 novembre 2010 modifiant l'Arrêté du Gouvernement flamand du 1er juin 1995. Celui-ci contient des dispositions générales et sectorielles en matière d'hygiène environnementale concernant la normalisation des antennes émettrices fixes et te</w:t>
      </w:r>
      <w:r w:rsidRPr="007A59B1">
        <w:rPr>
          <w:rFonts w:ascii="Verdana" w:hAnsi="Verdana"/>
          <w:sz w:val="20"/>
          <w:szCs w:val="20"/>
          <w:lang w:val="fr-FR"/>
        </w:rPr>
        <w:t>m</w:t>
      </w:r>
      <w:r w:rsidRPr="007A59B1">
        <w:rPr>
          <w:rFonts w:ascii="Verdana" w:hAnsi="Verdana"/>
          <w:sz w:val="20"/>
          <w:szCs w:val="20"/>
          <w:lang w:val="fr-FR"/>
        </w:rPr>
        <w:t xml:space="preserve">poraires pour les ondes électromagnétiques entre 10 MHz et 10 GHz. (Moniteur Belge – MB - du 13 janvier 2011). Le décret du 19 novembre 2010 entre en vigueur le 23 janvier 2011). </w:t>
      </w:r>
    </w:p>
    <w:p w14:paraId="45DAA1DA" w14:textId="77777777" w:rsidR="007A59B1" w:rsidRPr="007A59B1" w:rsidRDefault="007A59B1" w:rsidP="008857B2">
      <w:pPr>
        <w:pStyle w:val="Paragraphedeliste"/>
        <w:spacing w:after="0" w:line="20" w:lineRule="atLeast"/>
        <w:ind w:left="360"/>
        <w:jc w:val="both"/>
        <w:rPr>
          <w:rFonts w:ascii="Verdana" w:hAnsi="Verdana"/>
          <w:sz w:val="20"/>
          <w:szCs w:val="20"/>
          <w:lang w:val="fr-FR"/>
        </w:rPr>
      </w:pPr>
    </w:p>
    <w:p w14:paraId="4E071C74" w14:textId="6F801450" w:rsidR="007A59B1" w:rsidRDefault="007A59B1" w:rsidP="008857B2">
      <w:pPr>
        <w:pStyle w:val="Paragraphedeliste"/>
        <w:spacing w:after="0" w:line="20" w:lineRule="atLeast"/>
        <w:ind w:left="360"/>
        <w:jc w:val="both"/>
        <w:rPr>
          <w:rFonts w:ascii="Verdana" w:hAnsi="Verdana"/>
          <w:sz w:val="20"/>
          <w:szCs w:val="20"/>
          <w:lang w:val="fr-FR"/>
        </w:rPr>
      </w:pPr>
      <w:r w:rsidRPr="007A59B1">
        <w:rPr>
          <w:rFonts w:ascii="Verdana" w:hAnsi="Verdana"/>
          <w:sz w:val="20"/>
          <w:szCs w:val="20"/>
          <w:lang w:val="fr-FR"/>
        </w:rPr>
        <w:t>La décision fixe le champ électrique maximal à 20,6 V/m, soit le même niveau que l'ancienne norme fédérale. Chaque antenne émettrice peut contribuer à ce champ g</w:t>
      </w:r>
      <w:r w:rsidRPr="007A59B1">
        <w:rPr>
          <w:rFonts w:ascii="Verdana" w:hAnsi="Verdana"/>
          <w:sz w:val="20"/>
          <w:szCs w:val="20"/>
          <w:lang w:val="fr-FR"/>
        </w:rPr>
        <w:t>é</w:t>
      </w:r>
      <w:r w:rsidRPr="007A59B1">
        <w:rPr>
          <w:rFonts w:ascii="Verdana" w:hAnsi="Verdana"/>
          <w:sz w:val="20"/>
          <w:szCs w:val="20"/>
          <w:lang w:val="fr-FR"/>
        </w:rPr>
        <w:t>néral à hauteur de 3 V/m.</w:t>
      </w:r>
    </w:p>
    <w:p w14:paraId="1F984563" w14:textId="77777777" w:rsidR="007A59B1" w:rsidRPr="007A59B1" w:rsidRDefault="007A59B1" w:rsidP="008857B2">
      <w:pPr>
        <w:pStyle w:val="Paragraphedeliste"/>
        <w:spacing w:after="0" w:line="20" w:lineRule="atLeast"/>
        <w:ind w:left="360"/>
        <w:jc w:val="both"/>
        <w:rPr>
          <w:rFonts w:ascii="Verdana" w:hAnsi="Verdana"/>
          <w:sz w:val="20"/>
          <w:szCs w:val="20"/>
          <w:lang w:val="fr-FR"/>
        </w:rPr>
      </w:pPr>
    </w:p>
    <w:p w14:paraId="01DB6D74" w14:textId="2FAAB86A" w:rsidR="007A59B1" w:rsidRDefault="007A59B1" w:rsidP="008857B2">
      <w:pPr>
        <w:pStyle w:val="Paragraphedeliste"/>
        <w:spacing w:after="0" w:line="20" w:lineRule="atLeast"/>
        <w:ind w:left="360"/>
        <w:jc w:val="both"/>
        <w:rPr>
          <w:rFonts w:ascii="Verdana" w:hAnsi="Verdana"/>
          <w:sz w:val="20"/>
          <w:szCs w:val="20"/>
          <w:lang w:val="fr-FR"/>
        </w:rPr>
      </w:pPr>
      <w:r w:rsidRPr="007A59B1">
        <w:rPr>
          <w:rFonts w:ascii="Verdana" w:hAnsi="Verdana"/>
          <w:sz w:val="20"/>
          <w:szCs w:val="20"/>
          <w:lang w:val="fr-FR"/>
        </w:rPr>
        <w:t>La présente décision s'applique aux "antennes de transmission". Une antenne de transmission est tout élément qui transmet des ondes électromagnétiques à une fr</w:t>
      </w:r>
      <w:r w:rsidRPr="007A59B1">
        <w:rPr>
          <w:rFonts w:ascii="Verdana" w:hAnsi="Verdana"/>
          <w:sz w:val="20"/>
          <w:szCs w:val="20"/>
          <w:lang w:val="fr-FR"/>
        </w:rPr>
        <w:t>é</w:t>
      </w:r>
      <w:r w:rsidRPr="007A59B1">
        <w:rPr>
          <w:rFonts w:ascii="Verdana" w:hAnsi="Verdana"/>
          <w:sz w:val="20"/>
          <w:szCs w:val="20"/>
          <w:lang w:val="fr-FR"/>
        </w:rPr>
        <w:t xml:space="preserve">quence comprise entre 10 mégahertz et 10 gigahertz. Les antennes de téléphonie mobile, de radio et de télévision, de radio-amateurs, celles des services d'urgence, etc. sont donc couvertes par ce décret. Les appareils mobiles, tels que les GSM, ne </w:t>
      </w:r>
      <w:r w:rsidRPr="007A59B1">
        <w:rPr>
          <w:rFonts w:ascii="Verdana" w:hAnsi="Verdana"/>
          <w:sz w:val="20"/>
          <w:szCs w:val="20"/>
          <w:lang w:val="fr-FR"/>
        </w:rPr>
        <w:lastRenderedPageBreak/>
        <w:t>sont pas visés par le décret. Il existe des normes de produit fédérales pour ces app</w:t>
      </w:r>
      <w:r w:rsidRPr="007A59B1">
        <w:rPr>
          <w:rFonts w:ascii="Verdana" w:hAnsi="Verdana"/>
          <w:sz w:val="20"/>
          <w:szCs w:val="20"/>
          <w:lang w:val="fr-FR"/>
        </w:rPr>
        <w:t>a</w:t>
      </w:r>
      <w:r w:rsidRPr="007A59B1">
        <w:rPr>
          <w:rFonts w:ascii="Verdana" w:hAnsi="Verdana"/>
          <w:sz w:val="20"/>
          <w:szCs w:val="20"/>
          <w:lang w:val="fr-FR"/>
        </w:rPr>
        <w:t>reils.</w:t>
      </w:r>
    </w:p>
    <w:p w14:paraId="43717EFE" w14:textId="77777777" w:rsidR="007A59B1" w:rsidRPr="007A59B1" w:rsidRDefault="007A59B1" w:rsidP="008857B2">
      <w:pPr>
        <w:pStyle w:val="Paragraphedeliste"/>
        <w:spacing w:after="0" w:line="20" w:lineRule="atLeast"/>
        <w:ind w:left="360"/>
        <w:jc w:val="both"/>
        <w:rPr>
          <w:rFonts w:ascii="Verdana" w:hAnsi="Verdana"/>
          <w:sz w:val="20"/>
          <w:szCs w:val="20"/>
          <w:lang w:val="fr-FR"/>
        </w:rPr>
      </w:pPr>
    </w:p>
    <w:p w14:paraId="2FC0E450" w14:textId="7421B0DC" w:rsidR="00BA508C" w:rsidRPr="00B37420" w:rsidRDefault="007A59B1" w:rsidP="008857B2">
      <w:pPr>
        <w:pStyle w:val="Paragraphedeliste"/>
        <w:spacing w:after="0" w:line="20" w:lineRule="atLeast"/>
        <w:ind w:left="360"/>
        <w:jc w:val="both"/>
        <w:rPr>
          <w:rFonts w:ascii="Verdana" w:hAnsi="Verdana"/>
          <w:sz w:val="20"/>
          <w:szCs w:val="20"/>
          <w:lang w:val="fr-FR"/>
        </w:rPr>
      </w:pPr>
      <w:r w:rsidRPr="007A59B1">
        <w:rPr>
          <w:rFonts w:ascii="Verdana" w:hAnsi="Verdana"/>
          <w:sz w:val="20"/>
          <w:szCs w:val="20"/>
          <w:lang w:val="fr-FR"/>
        </w:rPr>
        <w:t>Ce décret a été modifié par l'Arrêté du Gouvernement flamand du 16 décembre 2011 modifiant diverses dispositions de l'arrêté du Gouvernement flamand du 1er juin 1995, contenant des dispositions générales et sectorielles en matière d’hygiène env</w:t>
      </w:r>
      <w:r w:rsidRPr="007A59B1">
        <w:rPr>
          <w:rFonts w:ascii="Verdana" w:hAnsi="Verdana"/>
          <w:sz w:val="20"/>
          <w:szCs w:val="20"/>
          <w:lang w:val="fr-FR"/>
        </w:rPr>
        <w:t>i</w:t>
      </w:r>
      <w:r w:rsidRPr="007A59B1">
        <w:rPr>
          <w:rFonts w:ascii="Verdana" w:hAnsi="Verdana"/>
          <w:sz w:val="20"/>
          <w:szCs w:val="20"/>
          <w:lang w:val="fr-FR"/>
        </w:rPr>
        <w:t>ronnementale, et de l'arrêté du Gouvernement flamand du 19 novembre 2010, relatif à la normalisation des antennes émettrices fixes et temporaires pour les ondes éle</w:t>
      </w:r>
      <w:r w:rsidRPr="007A59B1">
        <w:rPr>
          <w:rFonts w:ascii="Verdana" w:hAnsi="Verdana"/>
          <w:sz w:val="20"/>
          <w:szCs w:val="20"/>
          <w:lang w:val="fr-FR"/>
        </w:rPr>
        <w:t>c</w:t>
      </w:r>
      <w:r w:rsidRPr="007A59B1">
        <w:rPr>
          <w:rFonts w:ascii="Verdana" w:hAnsi="Verdana"/>
          <w:sz w:val="20"/>
          <w:szCs w:val="20"/>
          <w:lang w:val="fr-FR"/>
        </w:rPr>
        <w:t>tromagnétiques comprises entre 10 MHz et 10 GHz. (MB du 13 janvier 2012)</w:t>
      </w:r>
      <w:r>
        <w:rPr>
          <w:rFonts w:ascii="Verdana" w:hAnsi="Verdana"/>
          <w:sz w:val="20"/>
          <w:szCs w:val="20"/>
          <w:lang w:val="fr-FR"/>
        </w:rPr>
        <w:t>.</w:t>
      </w:r>
    </w:p>
    <w:p w14:paraId="031F9ACF" w14:textId="77777777" w:rsidR="003568B4" w:rsidRPr="00B37420" w:rsidRDefault="003568B4" w:rsidP="00C03246">
      <w:pPr>
        <w:pStyle w:val="Sansinterligne"/>
        <w:spacing w:line="20" w:lineRule="atLeast"/>
        <w:jc w:val="both"/>
        <w:rPr>
          <w:rFonts w:ascii="Verdana" w:hAnsi="Verdana"/>
          <w:sz w:val="20"/>
          <w:szCs w:val="20"/>
          <w:lang w:val="fr-FR"/>
        </w:rPr>
      </w:pPr>
    </w:p>
    <w:p w14:paraId="2B49BE1C" w14:textId="406523EA" w:rsidR="003B0994"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3.</w:t>
      </w:r>
    </w:p>
    <w:p w14:paraId="32F7463F" w14:textId="21BE38CB" w:rsidR="007A59B1" w:rsidRDefault="007A59B1" w:rsidP="00C03246">
      <w:pPr>
        <w:pStyle w:val="Sansinterligne"/>
        <w:spacing w:line="20" w:lineRule="atLeast"/>
        <w:jc w:val="both"/>
        <w:rPr>
          <w:rFonts w:ascii="Verdana" w:hAnsi="Verdana"/>
          <w:sz w:val="20"/>
          <w:szCs w:val="20"/>
          <w:lang w:val="fr-FR"/>
        </w:rPr>
      </w:pPr>
      <w:r w:rsidRPr="007A59B1">
        <w:rPr>
          <w:rFonts w:ascii="Verdana" w:hAnsi="Verdana"/>
          <w:sz w:val="20"/>
          <w:szCs w:val="20"/>
          <w:lang w:val="fr-FR"/>
        </w:rPr>
        <w:t>Les normes actuelles de la Région flamande et de la Région de Bruxelles-Capitale datent d'une époque où la communication sans fil était brève et principalement destinée aux urgences. C'est pourquoi des organisations telles que l'ICNIRP ont élaboré des normes de sécurité basées sur une brève exposition de 6 ou 30 minutes.</w:t>
      </w:r>
    </w:p>
    <w:p w14:paraId="19959A24" w14:textId="77777777" w:rsidR="007A59B1" w:rsidRPr="007A59B1" w:rsidRDefault="007A59B1" w:rsidP="00C03246">
      <w:pPr>
        <w:pStyle w:val="Sansinterligne"/>
        <w:spacing w:line="20" w:lineRule="atLeast"/>
        <w:jc w:val="both"/>
        <w:rPr>
          <w:rFonts w:ascii="Verdana" w:hAnsi="Verdana"/>
          <w:sz w:val="20"/>
          <w:szCs w:val="20"/>
          <w:lang w:val="fr-FR"/>
        </w:rPr>
      </w:pPr>
    </w:p>
    <w:p w14:paraId="0E8D23AF" w14:textId="1B471B1E" w:rsidR="007A59B1" w:rsidRPr="007A59B1" w:rsidRDefault="007A59B1" w:rsidP="00C03246">
      <w:pPr>
        <w:pStyle w:val="Sansinterligne"/>
        <w:spacing w:line="20" w:lineRule="atLeast"/>
        <w:jc w:val="both"/>
        <w:rPr>
          <w:rFonts w:ascii="Verdana" w:hAnsi="Verdana"/>
          <w:sz w:val="20"/>
          <w:szCs w:val="20"/>
          <w:lang w:val="fr-FR"/>
        </w:rPr>
      </w:pPr>
      <w:r w:rsidRPr="007A59B1">
        <w:rPr>
          <w:rFonts w:ascii="Verdana" w:hAnsi="Verdana"/>
          <w:sz w:val="20"/>
          <w:szCs w:val="20"/>
          <w:lang w:val="fr-FR"/>
        </w:rPr>
        <w:t xml:space="preserve">Par rapport aux années 1990, l'utilisation des technologies sans fil dans la société a augmenté de manière exponentielle. </w:t>
      </w:r>
    </w:p>
    <w:p w14:paraId="579EB236" w14:textId="77777777" w:rsidR="007A59B1" w:rsidRPr="007A59B1" w:rsidRDefault="007A59B1" w:rsidP="00C03246">
      <w:pPr>
        <w:pStyle w:val="Sansinterligne"/>
        <w:spacing w:line="20" w:lineRule="atLeast"/>
        <w:jc w:val="both"/>
        <w:rPr>
          <w:rFonts w:ascii="Verdana" w:hAnsi="Verdana"/>
          <w:sz w:val="20"/>
          <w:szCs w:val="20"/>
          <w:lang w:val="fr-FR"/>
        </w:rPr>
      </w:pPr>
      <w:r w:rsidRPr="007A59B1">
        <w:rPr>
          <w:rFonts w:ascii="Verdana" w:hAnsi="Verdana"/>
          <w:sz w:val="20"/>
          <w:szCs w:val="20"/>
          <w:lang w:val="fr-FR"/>
        </w:rPr>
        <w:t>Sur le plan personnel, les téléphones portables ne sont plus utilisés de façon brève en cas d’urgence. Sans qu’on l’ait voulu, les smartphones, les téléphones mobiles et autres applications sans fil prennent une place importante dans le quotidien d'un nombre croi</w:t>
      </w:r>
      <w:r w:rsidRPr="007A59B1">
        <w:rPr>
          <w:rFonts w:ascii="Verdana" w:hAnsi="Verdana"/>
          <w:sz w:val="20"/>
          <w:szCs w:val="20"/>
          <w:lang w:val="fr-FR"/>
        </w:rPr>
        <w:t>s</w:t>
      </w:r>
      <w:r w:rsidRPr="007A59B1">
        <w:rPr>
          <w:rFonts w:ascii="Verdana" w:hAnsi="Verdana"/>
          <w:sz w:val="20"/>
          <w:szCs w:val="20"/>
          <w:lang w:val="fr-FR"/>
        </w:rPr>
        <w:t xml:space="preserve">sant de citoyens. </w:t>
      </w:r>
    </w:p>
    <w:p w14:paraId="7E279FF3" w14:textId="11E7FEAE" w:rsidR="007A59B1" w:rsidRDefault="007A59B1" w:rsidP="00C03246">
      <w:pPr>
        <w:pStyle w:val="Sansinterligne"/>
        <w:spacing w:line="20" w:lineRule="atLeast"/>
        <w:jc w:val="both"/>
        <w:rPr>
          <w:rFonts w:ascii="Verdana" w:hAnsi="Verdana"/>
          <w:sz w:val="20"/>
          <w:szCs w:val="20"/>
          <w:lang w:val="fr-FR"/>
        </w:rPr>
      </w:pPr>
      <w:r w:rsidRPr="007A59B1">
        <w:rPr>
          <w:rFonts w:ascii="Verdana" w:hAnsi="Verdana"/>
          <w:sz w:val="20"/>
          <w:szCs w:val="20"/>
          <w:lang w:val="fr-FR"/>
        </w:rPr>
        <w:t>En outre, le gouvernement et l'industrie utilisent de plus en plus d'applications indu</w:t>
      </w:r>
      <w:r w:rsidRPr="007A59B1">
        <w:rPr>
          <w:rFonts w:ascii="Verdana" w:hAnsi="Verdana"/>
          <w:sz w:val="20"/>
          <w:szCs w:val="20"/>
          <w:lang w:val="fr-FR"/>
        </w:rPr>
        <w:t>s</w:t>
      </w:r>
      <w:r w:rsidRPr="007A59B1">
        <w:rPr>
          <w:rFonts w:ascii="Verdana" w:hAnsi="Verdana"/>
          <w:sz w:val="20"/>
          <w:szCs w:val="20"/>
          <w:lang w:val="fr-FR"/>
        </w:rPr>
        <w:t>trielles sans fil, telles que les compteurs numériques sans fil, l'éclairage public intelligent communiquant sans fil, etc.</w:t>
      </w:r>
    </w:p>
    <w:p w14:paraId="0C221635" w14:textId="77777777" w:rsidR="007A59B1" w:rsidRPr="007A59B1" w:rsidRDefault="007A59B1" w:rsidP="00C03246">
      <w:pPr>
        <w:pStyle w:val="Sansinterligne"/>
        <w:spacing w:line="20" w:lineRule="atLeast"/>
        <w:jc w:val="both"/>
        <w:rPr>
          <w:rFonts w:ascii="Verdana" w:hAnsi="Verdana"/>
          <w:sz w:val="20"/>
          <w:szCs w:val="20"/>
          <w:lang w:val="fr-FR"/>
        </w:rPr>
      </w:pPr>
    </w:p>
    <w:p w14:paraId="5130216A" w14:textId="7306523F" w:rsidR="007A59B1" w:rsidRDefault="007A59B1" w:rsidP="00C03246">
      <w:pPr>
        <w:pStyle w:val="Sansinterligne"/>
        <w:spacing w:line="20" w:lineRule="atLeast"/>
        <w:jc w:val="both"/>
        <w:rPr>
          <w:rFonts w:ascii="Verdana" w:hAnsi="Verdana"/>
          <w:sz w:val="20"/>
          <w:szCs w:val="20"/>
          <w:lang w:val="fr-FR"/>
        </w:rPr>
      </w:pPr>
      <w:r w:rsidRPr="007A59B1">
        <w:rPr>
          <w:rFonts w:ascii="Verdana" w:hAnsi="Verdana"/>
          <w:sz w:val="20"/>
          <w:szCs w:val="20"/>
          <w:lang w:val="fr-FR"/>
        </w:rPr>
        <w:t>Afin de protéger le public et l'environnement de tout cela, des organisations telles que l'ICNIRP se sont concentrées dès le départ, lors de l'établissement de leurs valeurs l</w:t>
      </w:r>
      <w:r w:rsidRPr="007A59B1">
        <w:rPr>
          <w:rFonts w:ascii="Verdana" w:hAnsi="Verdana"/>
          <w:sz w:val="20"/>
          <w:szCs w:val="20"/>
          <w:lang w:val="fr-FR"/>
        </w:rPr>
        <w:t>i</w:t>
      </w:r>
      <w:r w:rsidRPr="007A59B1">
        <w:rPr>
          <w:rFonts w:ascii="Verdana" w:hAnsi="Verdana"/>
          <w:sz w:val="20"/>
          <w:szCs w:val="20"/>
          <w:lang w:val="fr-FR"/>
        </w:rPr>
        <w:t>mites, sur les effets thermiques dans des conditions de laboratoire. D'autres réactions biologiques non thermiques qui peuvent se produire dans les organismes vivants, bien en dessous des normes ainsi établies, n'ont pas été, et ne sont toujours pas, prises en compte. C'est le cas pour les valeurs limites tant de la Communauté flamande que de la Région de Bruxelles-Capitale.</w:t>
      </w:r>
    </w:p>
    <w:p w14:paraId="548E250F" w14:textId="77777777" w:rsidR="007A59B1" w:rsidRPr="007A59B1" w:rsidRDefault="007A59B1" w:rsidP="00C03246">
      <w:pPr>
        <w:pStyle w:val="Sansinterligne"/>
        <w:spacing w:line="20" w:lineRule="atLeast"/>
        <w:jc w:val="both"/>
        <w:rPr>
          <w:rFonts w:ascii="Verdana" w:hAnsi="Verdana"/>
          <w:sz w:val="20"/>
          <w:szCs w:val="20"/>
          <w:lang w:val="fr-FR"/>
        </w:rPr>
      </w:pPr>
    </w:p>
    <w:p w14:paraId="34D048DA" w14:textId="6C30991F" w:rsidR="00D80021" w:rsidRPr="00B37420" w:rsidRDefault="007A59B1" w:rsidP="00C03246">
      <w:pPr>
        <w:pStyle w:val="Sansinterligne"/>
        <w:spacing w:line="20" w:lineRule="atLeast"/>
        <w:jc w:val="both"/>
        <w:rPr>
          <w:rFonts w:ascii="Verdana" w:hAnsi="Verdana"/>
          <w:sz w:val="20"/>
          <w:szCs w:val="20"/>
          <w:lang w:val="fr-FR"/>
        </w:rPr>
      </w:pPr>
      <w:r w:rsidRPr="007A59B1">
        <w:rPr>
          <w:rFonts w:ascii="Verdana" w:hAnsi="Verdana"/>
          <w:sz w:val="20"/>
          <w:szCs w:val="20"/>
          <w:lang w:val="fr-FR"/>
        </w:rPr>
        <w:t>Tout cela a conduit à une crise sanitaire et à un nombre croissant de résultats scient</w:t>
      </w:r>
      <w:r w:rsidRPr="007A59B1">
        <w:rPr>
          <w:rFonts w:ascii="Verdana" w:hAnsi="Verdana"/>
          <w:sz w:val="20"/>
          <w:szCs w:val="20"/>
          <w:lang w:val="fr-FR"/>
        </w:rPr>
        <w:t>i</w:t>
      </w:r>
      <w:r w:rsidRPr="007A59B1">
        <w:rPr>
          <w:rFonts w:ascii="Verdana" w:hAnsi="Verdana"/>
          <w:sz w:val="20"/>
          <w:szCs w:val="20"/>
          <w:lang w:val="fr-FR"/>
        </w:rPr>
        <w:t>fiques alarmants - voir marges 5 et 6 - qui montrent que les réglementations en vigueur ont un coût énorme pour le bien-être et la santé des humains, des plantes, des animaux et de l'environnement.</w:t>
      </w:r>
    </w:p>
    <w:p w14:paraId="7DF2D759" w14:textId="683C694A" w:rsidR="00D80021" w:rsidRPr="00B37420" w:rsidRDefault="00D80021" w:rsidP="00C03246">
      <w:pPr>
        <w:pStyle w:val="Sansinterligne"/>
        <w:spacing w:line="20" w:lineRule="atLeast"/>
        <w:jc w:val="both"/>
        <w:rPr>
          <w:rFonts w:ascii="Verdana" w:hAnsi="Verdana"/>
          <w:sz w:val="20"/>
          <w:szCs w:val="20"/>
          <w:lang w:val="fr-FR"/>
        </w:rPr>
      </w:pPr>
    </w:p>
    <w:p w14:paraId="65361718" w14:textId="34F1D8B3" w:rsidR="00CC05F2"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4</w:t>
      </w:r>
      <w:r w:rsidR="00CC05F2" w:rsidRPr="00B37420">
        <w:rPr>
          <w:rFonts w:ascii="Verdana" w:hAnsi="Verdana"/>
          <w:sz w:val="20"/>
          <w:szCs w:val="20"/>
          <w:lang w:val="fr-FR"/>
        </w:rPr>
        <w:t>.</w:t>
      </w:r>
    </w:p>
    <w:p w14:paraId="5361100A" w14:textId="1117388A" w:rsidR="005B6608" w:rsidRDefault="005B6608" w:rsidP="00C03246">
      <w:pPr>
        <w:spacing w:after="0" w:line="20" w:lineRule="atLeast"/>
        <w:jc w:val="both"/>
        <w:rPr>
          <w:rFonts w:ascii="Verdana" w:hAnsi="Verdana"/>
          <w:sz w:val="20"/>
          <w:szCs w:val="20"/>
          <w:lang w:val="fr-FR"/>
        </w:rPr>
      </w:pPr>
      <w:r w:rsidRPr="005B6608">
        <w:rPr>
          <w:rFonts w:ascii="Verdana" w:hAnsi="Verdana"/>
          <w:sz w:val="20"/>
          <w:szCs w:val="20"/>
          <w:lang w:val="fr-FR"/>
        </w:rPr>
        <w:t>Ainsi, la réglementation actuelle autorise une intensité de rayonnement qui est nocive et qui, selon les requérants, est en violation des normes juridiques supérieures. Ils dema</w:t>
      </w:r>
      <w:r w:rsidRPr="005B6608">
        <w:rPr>
          <w:rFonts w:ascii="Verdana" w:hAnsi="Verdana"/>
          <w:sz w:val="20"/>
          <w:szCs w:val="20"/>
          <w:lang w:val="fr-FR"/>
        </w:rPr>
        <w:t>n</w:t>
      </w:r>
      <w:r w:rsidRPr="005B6608">
        <w:rPr>
          <w:rFonts w:ascii="Verdana" w:hAnsi="Verdana"/>
          <w:sz w:val="20"/>
          <w:szCs w:val="20"/>
          <w:lang w:val="fr-FR"/>
        </w:rPr>
        <w:t>dent donc à la Cour de constater l'illégalité des limites applicables.</w:t>
      </w:r>
    </w:p>
    <w:p w14:paraId="42E0CE4A" w14:textId="77777777" w:rsidR="008857B2" w:rsidRPr="005B6608" w:rsidRDefault="008857B2" w:rsidP="00C03246">
      <w:pPr>
        <w:spacing w:after="0" w:line="20" w:lineRule="atLeast"/>
        <w:jc w:val="both"/>
        <w:rPr>
          <w:rFonts w:ascii="Verdana" w:hAnsi="Verdana"/>
          <w:sz w:val="20"/>
          <w:szCs w:val="20"/>
          <w:lang w:val="fr-FR"/>
        </w:rPr>
      </w:pPr>
    </w:p>
    <w:p w14:paraId="4DB126B3" w14:textId="77777777" w:rsidR="005B6608" w:rsidRPr="005B6608" w:rsidRDefault="005B6608" w:rsidP="00C03246">
      <w:pPr>
        <w:spacing w:after="0" w:line="20" w:lineRule="atLeast"/>
        <w:jc w:val="both"/>
        <w:rPr>
          <w:rFonts w:ascii="Verdana" w:hAnsi="Verdana"/>
          <w:sz w:val="20"/>
          <w:szCs w:val="20"/>
          <w:lang w:val="fr-FR"/>
        </w:rPr>
      </w:pPr>
      <w:r w:rsidRPr="005B6608">
        <w:rPr>
          <w:rFonts w:ascii="Verdana" w:hAnsi="Verdana"/>
          <w:sz w:val="20"/>
          <w:szCs w:val="20"/>
          <w:lang w:val="fr-FR"/>
        </w:rPr>
        <w:t>Les requérants demandent en outre que soient imposées aux défendeurs des valeurs limites qui tiennent compte des problèmes de santé dont souffrent les requérants, même à court terme, et qui protègent réellement tous les êtres humains, les plantes et les an</w:t>
      </w:r>
      <w:r w:rsidRPr="005B6608">
        <w:rPr>
          <w:rFonts w:ascii="Verdana" w:hAnsi="Verdana"/>
          <w:sz w:val="20"/>
          <w:szCs w:val="20"/>
          <w:lang w:val="fr-FR"/>
        </w:rPr>
        <w:t>i</w:t>
      </w:r>
      <w:r w:rsidRPr="005B6608">
        <w:rPr>
          <w:rFonts w:ascii="Verdana" w:hAnsi="Verdana"/>
          <w:sz w:val="20"/>
          <w:szCs w:val="20"/>
          <w:lang w:val="fr-FR"/>
        </w:rPr>
        <w:t>maux, et ceci aussi à long terme.</w:t>
      </w:r>
    </w:p>
    <w:p w14:paraId="574CECDB" w14:textId="77777777" w:rsidR="00BB5F60" w:rsidRDefault="00BB5F60" w:rsidP="00C03246">
      <w:pPr>
        <w:spacing w:after="0" w:line="20" w:lineRule="atLeast"/>
        <w:jc w:val="both"/>
        <w:rPr>
          <w:rFonts w:ascii="Verdana" w:hAnsi="Verdana"/>
          <w:sz w:val="20"/>
          <w:szCs w:val="20"/>
          <w:lang w:val="fr-FR"/>
        </w:rPr>
      </w:pPr>
    </w:p>
    <w:p w14:paraId="20267D6B" w14:textId="40AD66C8" w:rsidR="005B6608" w:rsidRPr="005B6608" w:rsidRDefault="005B6608" w:rsidP="00C03246">
      <w:pPr>
        <w:spacing w:after="0" w:line="20" w:lineRule="atLeast"/>
        <w:jc w:val="both"/>
        <w:rPr>
          <w:rFonts w:ascii="Verdana" w:hAnsi="Verdana"/>
          <w:sz w:val="20"/>
          <w:szCs w:val="20"/>
          <w:lang w:val="fr-FR"/>
        </w:rPr>
      </w:pPr>
      <w:r w:rsidRPr="005B6608">
        <w:rPr>
          <w:rFonts w:ascii="Verdana" w:hAnsi="Verdana"/>
          <w:sz w:val="20"/>
          <w:szCs w:val="20"/>
          <w:lang w:val="fr-FR"/>
        </w:rPr>
        <w:t>Les requérants demandent également une application plus stricte du principe de préca</w:t>
      </w:r>
      <w:r w:rsidRPr="005B6608">
        <w:rPr>
          <w:rFonts w:ascii="Verdana" w:hAnsi="Verdana"/>
          <w:sz w:val="20"/>
          <w:szCs w:val="20"/>
          <w:lang w:val="fr-FR"/>
        </w:rPr>
        <w:t>u</w:t>
      </w:r>
      <w:r w:rsidRPr="005B6608">
        <w:rPr>
          <w:rFonts w:ascii="Verdana" w:hAnsi="Verdana"/>
          <w:sz w:val="20"/>
          <w:szCs w:val="20"/>
          <w:lang w:val="fr-FR"/>
        </w:rPr>
        <w:t>tion afin que la politique tienne dûment compte de tous les effets biologiques, y compris les effets non thermiques, des sources de rayonnement à court, moyen et long terme.</w:t>
      </w:r>
    </w:p>
    <w:p w14:paraId="49303DEE" w14:textId="4556C3A6" w:rsidR="00B55FC8" w:rsidRDefault="005B6608" w:rsidP="00C03246">
      <w:pPr>
        <w:spacing w:after="0" w:line="20" w:lineRule="atLeast"/>
        <w:jc w:val="both"/>
        <w:rPr>
          <w:rFonts w:ascii="Verdana" w:hAnsi="Verdana"/>
          <w:sz w:val="20"/>
          <w:szCs w:val="20"/>
          <w:lang w:val="fr-FR"/>
        </w:rPr>
      </w:pPr>
      <w:r w:rsidRPr="005B6608">
        <w:rPr>
          <w:rFonts w:ascii="Verdana" w:hAnsi="Verdana"/>
          <w:sz w:val="20"/>
          <w:szCs w:val="20"/>
          <w:lang w:val="fr-FR"/>
        </w:rPr>
        <w:t>Concrètement, cela signifie que les normes d'exposition actuelles devront être considér</w:t>
      </w:r>
      <w:r w:rsidRPr="005B6608">
        <w:rPr>
          <w:rFonts w:ascii="Verdana" w:hAnsi="Verdana"/>
          <w:sz w:val="20"/>
          <w:szCs w:val="20"/>
          <w:lang w:val="fr-FR"/>
        </w:rPr>
        <w:t>a</w:t>
      </w:r>
      <w:r w:rsidRPr="005B6608">
        <w:rPr>
          <w:rFonts w:ascii="Verdana" w:hAnsi="Verdana"/>
          <w:sz w:val="20"/>
          <w:szCs w:val="20"/>
          <w:lang w:val="fr-FR"/>
        </w:rPr>
        <w:t>blement restreintes, conformément aux résultats de recherches scientifiques nationales et internationales</w:t>
      </w:r>
      <w:r w:rsidR="00BB5F60">
        <w:rPr>
          <w:rFonts w:ascii="Verdana" w:hAnsi="Verdana"/>
          <w:sz w:val="20"/>
          <w:szCs w:val="20"/>
          <w:lang w:val="fr-FR"/>
        </w:rPr>
        <w:t xml:space="preserve"> </w:t>
      </w:r>
      <w:r w:rsidRPr="005B6608">
        <w:rPr>
          <w:rFonts w:ascii="Verdana" w:hAnsi="Verdana"/>
          <w:sz w:val="20"/>
          <w:szCs w:val="20"/>
          <w:lang w:val="fr-FR"/>
        </w:rPr>
        <w:t>indépendantes et évaluées par des pairs. Plus précisément, les requ</w:t>
      </w:r>
      <w:r w:rsidRPr="005B6608">
        <w:rPr>
          <w:rFonts w:ascii="Verdana" w:hAnsi="Verdana"/>
          <w:sz w:val="20"/>
          <w:szCs w:val="20"/>
          <w:lang w:val="fr-FR"/>
        </w:rPr>
        <w:t>é</w:t>
      </w:r>
      <w:r w:rsidRPr="005B6608">
        <w:rPr>
          <w:rFonts w:ascii="Verdana" w:hAnsi="Verdana"/>
          <w:sz w:val="20"/>
          <w:szCs w:val="20"/>
          <w:lang w:val="fr-FR"/>
        </w:rPr>
        <w:t>rants demandent une norme de rayonnement cumulatif de 0,6 V/m maximum.</w:t>
      </w:r>
    </w:p>
    <w:p w14:paraId="2C9C9E2F" w14:textId="77777777" w:rsidR="008857B2" w:rsidRPr="00B37420" w:rsidRDefault="008857B2" w:rsidP="00C03246">
      <w:pPr>
        <w:spacing w:after="0" w:line="20" w:lineRule="atLeast"/>
        <w:jc w:val="both"/>
        <w:rPr>
          <w:rFonts w:ascii="Verdana" w:hAnsi="Verdana"/>
          <w:sz w:val="20"/>
          <w:szCs w:val="20"/>
          <w:lang w:val="fr-FR"/>
        </w:rPr>
      </w:pPr>
    </w:p>
    <w:p w14:paraId="7898C19A" w14:textId="02934C15" w:rsidR="00B55FC8" w:rsidRPr="00B37420" w:rsidRDefault="00B55FC8" w:rsidP="00C03246">
      <w:pPr>
        <w:spacing w:after="0" w:line="20" w:lineRule="atLeast"/>
        <w:jc w:val="both"/>
        <w:rPr>
          <w:rFonts w:ascii="Verdana" w:hAnsi="Verdana"/>
          <w:sz w:val="20"/>
          <w:szCs w:val="20"/>
          <w:lang w:val="fr-FR"/>
        </w:rPr>
      </w:pPr>
    </w:p>
    <w:p w14:paraId="67DA7481" w14:textId="3347B4E8" w:rsidR="00B55FC8" w:rsidRPr="00B37420" w:rsidRDefault="00CC05F2" w:rsidP="00C03246">
      <w:pPr>
        <w:spacing w:after="0" w:line="20" w:lineRule="atLeast"/>
        <w:jc w:val="both"/>
        <w:rPr>
          <w:rFonts w:ascii="Verdana" w:hAnsi="Verdana"/>
          <w:b/>
          <w:bCs/>
          <w:sz w:val="20"/>
          <w:szCs w:val="20"/>
          <w:u w:val="single"/>
          <w:lang w:val="fr-FR"/>
        </w:rPr>
      </w:pPr>
      <w:r w:rsidRPr="00B37420">
        <w:rPr>
          <w:rFonts w:ascii="Verdana" w:hAnsi="Verdana"/>
          <w:b/>
          <w:bCs/>
          <w:sz w:val="20"/>
          <w:szCs w:val="20"/>
          <w:u w:val="single"/>
          <w:lang w:val="fr-FR"/>
        </w:rPr>
        <w:t>II</w:t>
      </w:r>
      <w:r w:rsidR="00B55FC8" w:rsidRPr="00B37420">
        <w:rPr>
          <w:rFonts w:ascii="Verdana" w:hAnsi="Verdana"/>
          <w:b/>
          <w:bCs/>
          <w:sz w:val="20"/>
          <w:szCs w:val="20"/>
          <w:u w:val="single"/>
          <w:lang w:val="fr-FR"/>
        </w:rPr>
        <w:t>. LES RISQUES POUR LA SANTÉ ET LES DOMMAGES À L'ENVIRONNEMENT</w:t>
      </w:r>
    </w:p>
    <w:p w14:paraId="71DBBCAE" w14:textId="68EE6A28" w:rsidR="007E7D55" w:rsidRPr="00B37420" w:rsidRDefault="007E7D55" w:rsidP="00C03246">
      <w:pPr>
        <w:pStyle w:val="Sansinterligne"/>
        <w:spacing w:line="20" w:lineRule="atLeast"/>
        <w:jc w:val="both"/>
        <w:rPr>
          <w:rFonts w:ascii="Verdana" w:hAnsi="Verdana"/>
          <w:b/>
          <w:bCs/>
          <w:sz w:val="20"/>
          <w:szCs w:val="20"/>
          <w:u w:val="single"/>
          <w:lang w:val="fr-FR"/>
        </w:rPr>
      </w:pPr>
      <w:r w:rsidRPr="00B37420">
        <w:rPr>
          <w:rFonts w:ascii="Verdana" w:hAnsi="Verdana"/>
          <w:b/>
          <w:bCs/>
          <w:sz w:val="20"/>
          <w:szCs w:val="20"/>
          <w:u w:val="single"/>
          <w:lang w:val="fr-FR"/>
        </w:rPr>
        <w:t xml:space="preserve">A. RISQUES ET </w:t>
      </w:r>
      <w:r w:rsidR="000D75F4" w:rsidRPr="00B37420">
        <w:rPr>
          <w:rFonts w:ascii="Verdana" w:hAnsi="Verdana"/>
          <w:b/>
          <w:bCs/>
          <w:sz w:val="20"/>
          <w:szCs w:val="20"/>
          <w:u w:val="single"/>
          <w:lang w:val="fr-FR"/>
        </w:rPr>
        <w:t xml:space="preserve">DOMMAGES POUR LA </w:t>
      </w:r>
      <w:r w:rsidRPr="00B37420">
        <w:rPr>
          <w:rFonts w:ascii="Verdana" w:hAnsi="Verdana"/>
          <w:b/>
          <w:bCs/>
          <w:sz w:val="20"/>
          <w:szCs w:val="20"/>
          <w:u w:val="single"/>
          <w:lang w:val="fr-FR"/>
        </w:rPr>
        <w:t xml:space="preserve">SANTÉ </w:t>
      </w:r>
      <w:r w:rsidR="00A94824">
        <w:rPr>
          <w:rFonts w:ascii="Verdana" w:hAnsi="Verdana"/>
          <w:b/>
          <w:bCs/>
          <w:sz w:val="20"/>
          <w:szCs w:val="20"/>
          <w:u w:val="single"/>
          <w:lang w:val="fr-FR"/>
        </w:rPr>
        <w:t>DE L’HOMME</w:t>
      </w:r>
    </w:p>
    <w:p w14:paraId="290010D8" w14:textId="77777777" w:rsidR="007E7D55" w:rsidRPr="00B37420" w:rsidRDefault="007E7D55" w:rsidP="00C03246">
      <w:pPr>
        <w:pStyle w:val="Sansinterligne"/>
        <w:spacing w:line="20" w:lineRule="atLeast"/>
        <w:jc w:val="both"/>
        <w:rPr>
          <w:rFonts w:ascii="Verdana" w:hAnsi="Verdana"/>
          <w:sz w:val="20"/>
          <w:szCs w:val="20"/>
          <w:lang w:val="fr-FR"/>
        </w:rPr>
      </w:pPr>
      <w:bookmarkStart w:id="12" w:name="_Hlk68079180"/>
    </w:p>
    <w:bookmarkEnd w:id="12"/>
    <w:p w14:paraId="1308B72B" w14:textId="50DC66A0" w:rsidR="00CC05F2"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5</w:t>
      </w:r>
      <w:r w:rsidR="00CC05F2" w:rsidRPr="00B37420">
        <w:rPr>
          <w:rFonts w:ascii="Verdana" w:hAnsi="Verdana"/>
          <w:sz w:val="20"/>
          <w:szCs w:val="20"/>
          <w:lang w:val="fr-FR"/>
        </w:rPr>
        <w:t>.</w:t>
      </w:r>
    </w:p>
    <w:p w14:paraId="72C1D146" w14:textId="151F3645" w:rsidR="00CC05F2" w:rsidRPr="00B37420" w:rsidRDefault="00BB5F60" w:rsidP="00C03246">
      <w:pPr>
        <w:pStyle w:val="Sansinterligne"/>
        <w:spacing w:line="20" w:lineRule="atLeast"/>
        <w:jc w:val="both"/>
        <w:rPr>
          <w:rFonts w:ascii="Verdana" w:hAnsi="Verdana"/>
          <w:sz w:val="20"/>
          <w:szCs w:val="20"/>
          <w:lang w:val="fr-FR"/>
        </w:rPr>
      </w:pPr>
      <w:r w:rsidRPr="00BB5F60">
        <w:rPr>
          <w:rFonts w:ascii="Verdana" w:hAnsi="Verdana"/>
          <w:sz w:val="20"/>
          <w:szCs w:val="20"/>
          <w:lang w:val="fr-FR"/>
        </w:rPr>
        <w:t>Les études suivantes, entre autres, montrent que la technologie sans fil ne provoque pas seulement des effets néfastes à court terme sur la santé. À long terme également, des niveaux de rayonnement excessifs entraînent des dommages pour la santé et des risques sanitaires de toutes sortes chez les humains.</w:t>
      </w:r>
    </w:p>
    <w:p w14:paraId="569FBFC8" w14:textId="77777777" w:rsidR="00393596" w:rsidRPr="00B37420" w:rsidRDefault="00393596" w:rsidP="00C03246">
      <w:pPr>
        <w:pStyle w:val="Sansinterligne"/>
        <w:spacing w:line="20" w:lineRule="atLeast"/>
        <w:jc w:val="both"/>
        <w:rPr>
          <w:rFonts w:ascii="Verdana" w:hAnsi="Verdana"/>
          <w:sz w:val="20"/>
          <w:szCs w:val="20"/>
          <w:lang w:val="fr-FR"/>
        </w:rPr>
      </w:pPr>
    </w:p>
    <w:p w14:paraId="76DC3739"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a. Étude Reflex 2002-2004</w:t>
      </w:r>
    </w:p>
    <w:p w14:paraId="7B0A5C03" w14:textId="77777777" w:rsidR="008857B2" w:rsidRDefault="008857B2" w:rsidP="008857B2">
      <w:pPr>
        <w:spacing w:after="0" w:line="20" w:lineRule="atLeast"/>
        <w:ind w:left="708"/>
        <w:jc w:val="both"/>
        <w:rPr>
          <w:rFonts w:ascii="Verdana" w:hAnsi="Verdana"/>
          <w:sz w:val="20"/>
          <w:szCs w:val="20"/>
          <w:lang w:val="fr-FR"/>
        </w:rPr>
      </w:pPr>
    </w:p>
    <w:p w14:paraId="793F6FCE" w14:textId="7F3A4F8A"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 xml:space="preserve">Importante étude de deux ans commandée par l'Union européenne et dirigée par le professeur Frans Adlkofer. Les résultats montrent que même à une valeur DAS de 1,3 W/kg, représentative de nombreux téléphones mobiles, des dommages biologiques importants sont causés aux cellules humaines et à l'ADN. </w:t>
      </w:r>
    </w:p>
    <w:p w14:paraId="254C4FA4" w14:textId="77777777" w:rsidR="00BB5F60" w:rsidRPr="00BB5F60" w:rsidRDefault="00BB5F60" w:rsidP="00C03246">
      <w:pPr>
        <w:spacing w:after="0" w:line="20" w:lineRule="atLeast"/>
        <w:jc w:val="both"/>
        <w:rPr>
          <w:rFonts w:ascii="Verdana" w:hAnsi="Verdana"/>
          <w:sz w:val="20"/>
          <w:szCs w:val="20"/>
          <w:lang w:val="fr-FR"/>
        </w:rPr>
      </w:pPr>
    </w:p>
    <w:p w14:paraId="11B11F02"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 xml:space="preserve">b. Étude Cerenat 2004-2006 </w:t>
      </w:r>
    </w:p>
    <w:p w14:paraId="258BCCBE" w14:textId="77777777" w:rsidR="008857B2" w:rsidRDefault="008857B2" w:rsidP="008857B2">
      <w:pPr>
        <w:spacing w:after="0" w:line="20" w:lineRule="atLeast"/>
        <w:ind w:left="708"/>
        <w:jc w:val="both"/>
        <w:rPr>
          <w:rFonts w:ascii="Verdana" w:hAnsi="Verdana"/>
          <w:sz w:val="20"/>
          <w:szCs w:val="20"/>
          <w:lang w:val="fr-FR"/>
        </w:rPr>
      </w:pPr>
    </w:p>
    <w:p w14:paraId="52FF5C3A" w14:textId="706D20AF"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Étude française démontrant un lien statistique entre l'utilisation intensive du tél</w:t>
      </w:r>
      <w:r w:rsidRPr="00BB5F60">
        <w:rPr>
          <w:rFonts w:ascii="Verdana" w:hAnsi="Verdana"/>
          <w:sz w:val="20"/>
          <w:szCs w:val="20"/>
          <w:lang w:val="fr-FR"/>
        </w:rPr>
        <w:t>é</w:t>
      </w:r>
      <w:r w:rsidRPr="00BB5F60">
        <w:rPr>
          <w:rFonts w:ascii="Verdana" w:hAnsi="Verdana"/>
          <w:sz w:val="20"/>
          <w:szCs w:val="20"/>
          <w:lang w:val="fr-FR"/>
        </w:rPr>
        <w:t>phone portable et les tumeurs cérébrales.</w:t>
      </w:r>
    </w:p>
    <w:p w14:paraId="5BC42194" w14:textId="77777777" w:rsidR="00BB5F60" w:rsidRPr="00BB5F60" w:rsidRDefault="00BB5F60" w:rsidP="00C03246">
      <w:pPr>
        <w:spacing w:after="0" w:line="20" w:lineRule="atLeast"/>
        <w:jc w:val="both"/>
        <w:rPr>
          <w:rFonts w:ascii="Verdana" w:hAnsi="Verdana"/>
          <w:sz w:val="20"/>
          <w:szCs w:val="20"/>
          <w:lang w:val="fr-FR"/>
        </w:rPr>
      </w:pPr>
    </w:p>
    <w:p w14:paraId="2982085F"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 xml:space="preserve">c. Étude Ramazzini (2005-2015) </w:t>
      </w:r>
    </w:p>
    <w:p w14:paraId="045FF600" w14:textId="77777777" w:rsidR="008857B2" w:rsidRDefault="008857B2" w:rsidP="008857B2">
      <w:pPr>
        <w:spacing w:after="0" w:line="20" w:lineRule="atLeast"/>
        <w:ind w:left="708"/>
        <w:jc w:val="both"/>
        <w:rPr>
          <w:rFonts w:ascii="Verdana" w:hAnsi="Verdana"/>
          <w:sz w:val="20"/>
          <w:szCs w:val="20"/>
          <w:lang w:val="fr-FR"/>
        </w:rPr>
      </w:pPr>
    </w:p>
    <w:p w14:paraId="7C87DC2E" w14:textId="1E1E1D8A"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L'Institut Ramazzini a examiné des rats Sprague-Dawley pour déterminer les e</w:t>
      </w:r>
      <w:r w:rsidRPr="00BB5F60">
        <w:rPr>
          <w:rFonts w:ascii="Verdana" w:hAnsi="Verdana"/>
          <w:sz w:val="20"/>
          <w:szCs w:val="20"/>
          <w:lang w:val="fr-FR"/>
        </w:rPr>
        <w:t>f</w:t>
      </w:r>
      <w:r w:rsidRPr="00BB5F60">
        <w:rPr>
          <w:rFonts w:ascii="Verdana" w:hAnsi="Verdana"/>
          <w:sz w:val="20"/>
          <w:szCs w:val="20"/>
          <w:lang w:val="fr-FR"/>
        </w:rPr>
        <w:t>fets cancérigènes d'une exposition à long terme aux rayonnements des téléphones mobiles de 1,8 GHz. Il s'agit de la plus grande étude à long terme jamais réalisée. Elle montre que les rayonnements des téléphones mobiles provoquent des t</w:t>
      </w:r>
      <w:r w:rsidRPr="00BB5F60">
        <w:rPr>
          <w:rFonts w:ascii="Verdana" w:hAnsi="Verdana"/>
          <w:sz w:val="20"/>
          <w:szCs w:val="20"/>
          <w:lang w:val="fr-FR"/>
        </w:rPr>
        <w:t>u</w:t>
      </w:r>
      <w:r w:rsidRPr="00BB5F60">
        <w:rPr>
          <w:rFonts w:ascii="Verdana" w:hAnsi="Verdana"/>
          <w:sz w:val="20"/>
          <w:szCs w:val="20"/>
          <w:lang w:val="fr-FR"/>
        </w:rPr>
        <w:t>meurs cérébrales et cardiaques, surtout chez les rats mâles.</w:t>
      </w:r>
    </w:p>
    <w:p w14:paraId="70200227" w14:textId="77777777" w:rsidR="00BB5F60" w:rsidRPr="00BB5F60" w:rsidRDefault="00BB5F60" w:rsidP="00C03246">
      <w:pPr>
        <w:spacing w:after="0" w:line="20" w:lineRule="atLeast"/>
        <w:jc w:val="both"/>
        <w:rPr>
          <w:rFonts w:ascii="Verdana" w:hAnsi="Verdana"/>
          <w:sz w:val="20"/>
          <w:szCs w:val="20"/>
          <w:lang w:val="fr-FR"/>
        </w:rPr>
      </w:pPr>
    </w:p>
    <w:p w14:paraId="0316CF58"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d. Bio-Initiative 2012, mise à jour en 2020.</w:t>
      </w:r>
    </w:p>
    <w:p w14:paraId="662B16FF" w14:textId="77777777" w:rsidR="008857B2" w:rsidRDefault="008857B2" w:rsidP="008857B2">
      <w:pPr>
        <w:spacing w:after="0" w:line="20" w:lineRule="atLeast"/>
        <w:ind w:left="708"/>
        <w:jc w:val="both"/>
        <w:rPr>
          <w:rFonts w:ascii="Verdana" w:hAnsi="Verdana"/>
          <w:sz w:val="20"/>
          <w:szCs w:val="20"/>
          <w:lang w:val="fr-FR"/>
        </w:rPr>
      </w:pPr>
    </w:p>
    <w:p w14:paraId="1D1D158C" w14:textId="0D8251A8"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Une méta-étude de 200 études alors disponibles sur l'effet des CEM sur les rad</w:t>
      </w:r>
      <w:r w:rsidRPr="00BB5F60">
        <w:rPr>
          <w:rFonts w:ascii="Verdana" w:hAnsi="Verdana"/>
          <w:sz w:val="20"/>
          <w:szCs w:val="20"/>
          <w:lang w:val="fr-FR"/>
        </w:rPr>
        <w:t>i</w:t>
      </w:r>
      <w:r w:rsidRPr="00BB5F60">
        <w:rPr>
          <w:rFonts w:ascii="Verdana" w:hAnsi="Verdana"/>
          <w:sz w:val="20"/>
          <w:szCs w:val="20"/>
          <w:lang w:val="fr-FR"/>
        </w:rPr>
        <w:t>caux libres et le stress cellulaire oxydatif auquel ils donnent lieu. L'étude a révélé l'existence d'effets statistiquement pertinents dans 180 des 200 études consu</w:t>
      </w:r>
      <w:r w:rsidRPr="00BB5F60">
        <w:rPr>
          <w:rFonts w:ascii="Verdana" w:hAnsi="Verdana"/>
          <w:sz w:val="20"/>
          <w:szCs w:val="20"/>
          <w:lang w:val="fr-FR"/>
        </w:rPr>
        <w:t>l</w:t>
      </w:r>
      <w:r w:rsidRPr="00BB5F60">
        <w:rPr>
          <w:rFonts w:ascii="Verdana" w:hAnsi="Verdana"/>
          <w:sz w:val="20"/>
          <w:szCs w:val="20"/>
          <w:lang w:val="fr-FR"/>
        </w:rPr>
        <w:t>tées. Cela représente un pourcentage de 90 %.</w:t>
      </w:r>
    </w:p>
    <w:p w14:paraId="5B8347D0" w14:textId="77777777" w:rsidR="005411A3" w:rsidRPr="00BB5F60" w:rsidRDefault="005411A3" w:rsidP="008857B2">
      <w:pPr>
        <w:spacing w:after="0" w:line="20" w:lineRule="atLeast"/>
        <w:ind w:left="708"/>
        <w:jc w:val="both"/>
        <w:rPr>
          <w:rFonts w:ascii="Verdana" w:hAnsi="Verdana"/>
          <w:sz w:val="20"/>
          <w:szCs w:val="20"/>
          <w:lang w:val="fr-FR"/>
        </w:rPr>
      </w:pPr>
    </w:p>
    <w:p w14:paraId="7FD066A3" w14:textId="27B41CD6"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Une version actualisée de cette étude a été publiée en 2020. Elle examine un total de 1067 études pertinentes. Parmi celles-ci, 786 études indiquent des effets bi</w:t>
      </w:r>
      <w:r w:rsidRPr="00BB5F60">
        <w:rPr>
          <w:rFonts w:ascii="Verdana" w:hAnsi="Verdana"/>
          <w:sz w:val="20"/>
          <w:szCs w:val="20"/>
          <w:lang w:val="fr-FR"/>
        </w:rPr>
        <w:t>o</w:t>
      </w:r>
      <w:r w:rsidRPr="00BB5F60">
        <w:rPr>
          <w:rFonts w:ascii="Verdana" w:hAnsi="Verdana"/>
          <w:sz w:val="20"/>
          <w:szCs w:val="20"/>
          <w:lang w:val="fr-FR"/>
        </w:rPr>
        <w:t>logiques des rayonnements RF.</w:t>
      </w:r>
    </w:p>
    <w:p w14:paraId="43C30A8B" w14:textId="77777777" w:rsidR="00BB5F60" w:rsidRPr="00BB5F60" w:rsidRDefault="00BB5F60" w:rsidP="00C03246">
      <w:pPr>
        <w:spacing w:after="0" w:line="20" w:lineRule="atLeast"/>
        <w:jc w:val="both"/>
        <w:rPr>
          <w:rFonts w:ascii="Verdana" w:hAnsi="Verdana"/>
          <w:sz w:val="20"/>
          <w:szCs w:val="20"/>
          <w:lang w:val="fr-FR"/>
        </w:rPr>
      </w:pPr>
    </w:p>
    <w:p w14:paraId="78FE76B2"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e. Birks et al 2017</w:t>
      </w:r>
    </w:p>
    <w:p w14:paraId="0AD29514" w14:textId="77777777" w:rsidR="008857B2" w:rsidRDefault="008857B2" w:rsidP="008857B2">
      <w:pPr>
        <w:spacing w:after="0" w:line="20" w:lineRule="atLeast"/>
        <w:ind w:left="708"/>
        <w:jc w:val="both"/>
        <w:rPr>
          <w:rFonts w:ascii="Verdana" w:hAnsi="Verdana"/>
          <w:sz w:val="20"/>
          <w:szCs w:val="20"/>
          <w:lang w:val="fr-FR"/>
        </w:rPr>
      </w:pPr>
    </w:p>
    <w:p w14:paraId="551C71B1" w14:textId="05BEFBE8"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Relation entre l'utilisation du téléphone portable pendant la grossesse et les troubles du comportement de l'enfant après la naissance.</w:t>
      </w:r>
    </w:p>
    <w:p w14:paraId="19891A19" w14:textId="77777777" w:rsidR="00BB5F60" w:rsidRPr="00BB5F60" w:rsidRDefault="00BB5F60" w:rsidP="00C03246">
      <w:pPr>
        <w:spacing w:after="0" w:line="20" w:lineRule="atLeast"/>
        <w:jc w:val="both"/>
        <w:rPr>
          <w:rFonts w:ascii="Verdana" w:hAnsi="Verdana"/>
          <w:sz w:val="20"/>
          <w:szCs w:val="20"/>
          <w:lang w:val="fr-FR"/>
        </w:rPr>
      </w:pPr>
    </w:p>
    <w:p w14:paraId="3F4263D9"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f. Étude NTP 2018.</w:t>
      </w:r>
    </w:p>
    <w:p w14:paraId="6EF9F1D2" w14:textId="77777777" w:rsidR="008857B2" w:rsidRDefault="008857B2" w:rsidP="008857B2">
      <w:pPr>
        <w:spacing w:after="0" w:line="20" w:lineRule="atLeast"/>
        <w:ind w:left="708"/>
        <w:jc w:val="both"/>
        <w:rPr>
          <w:rFonts w:ascii="Verdana" w:hAnsi="Verdana"/>
          <w:sz w:val="20"/>
          <w:szCs w:val="20"/>
          <w:lang w:val="fr-FR"/>
        </w:rPr>
      </w:pPr>
    </w:p>
    <w:p w14:paraId="70FD5FC9" w14:textId="2BFB9E70"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Étude de deux ans menée par le gouvernement américain sur des rats et des so</w:t>
      </w:r>
      <w:r w:rsidRPr="00BB5F60">
        <w:rPr>
          <w:rFonts w:ascii="Verdana" w:hAnsi="Verdana"/>
          <w:sz w:val="20"/>
          <w:szCs w:val="20"/>
          <w:lang w:val="fr-FR"/>
        </w:rPr>
        <w:t>u</w:t>
      </w:r>
      <w:r w:rsidRPr="00BB5F60">
        <w:rPr>
          <w:rFonts w:ascii="Verdana" w:hAnsi="Verdana"/>
          <w:sz w:val="20"/>
          <w:szCs w:val="20"/>
          <w:lang w:val="fr-FR"/>
        </w:rPr>
        <w:t>ris. L'étude montre un lien clair entre la 2G, la 3G et une incidence accrue de t</w:t>
      </w:r>
      <w:r w:rsidRPr="00BB5F60">
        <w:rPr>
          <w:rFonts w:ascii="Verdana" w:hAnsi="Verdana"/>
          <w:sz w:val="20"/>
          <w:szCs w:val="20"/>
          <w:lang w:val="fr-FR"/>
        </w:rPr>
        <w:t>u</w:t>
      </w:r>
      <w:r w:rsidRPr="00BB5F60">
        <w:rPr>
          <w:rFonts w:ascii="Verdana" w:hAnsi="Verdana"/>
          <w:sz w:val="20"/>
          <w:szCs w:val="20"/>
          <w:lang w:val="fr-FR"/>
        </w:rPr>
        <w:t>meurs malignes et de dommages à l'ADN chez des souris et des rats principal</w:t>
      </w:r>
      <w:r w:rsidRPr="00BB5F60">
        <w:rPr>
          <w:rFonts w:ascii="Verdana" w:hAnsi="Verdana"/>
          <w:sz w:val="20"/>
          <w:szCs w:val="20"/>
          <w:lang w:val="fr-FR"/>
        </w:rPr>
        <w:t>e</w:t>
      </w:r>
      <w:r w:rsidRPr="00BB5F60">
        <w:rPr>
          <w:rFonts w:ascii="Verdana" w:hAnsi="Verdana"/>
          <w:sz w:val="20"/>
          <w:szCs w:val="20"/>
          <w:lang w:val="fr-FR"/>
        </w:rPr>
        <w:t>ment mâles.</w:t>
      </w:r>
    </w:p>
    <w:p w14:paraId="5A64DC87" w14:textId="77777777" w:rsidR="00BB5F60" w:rsidRPr="00BB5F60" w:rsidRDefault="00BB5F60" w:rsidP="00C03246">
      <w:pPr>
        <w:spacing w:after="0" w:line="20" w:lineRule="atLeast"/>
        <w:jc w:val="both"/>
        <w:rPr>
          <w:rFonts w:ascii="Verdana" w:hAnsi="Verdana"/>
          <w:sz w:val="20"/>
          <w:szCs w:val="20"/>
          <w:lang w:val="fr-FR"/>
        </w:rPr>
      </w:pPr>
    </w:p>
    <w:p w14:paraId="435087B3"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g. Metastudy Martin Pall 2019 (2ème édition).</w:t>
      </w:r>
    </w:p>
    <w:p w14:paraId="13EAA654" w14:textId="77777777" w:rsidR="008857B2" w:rsidRDefault="008857B2" w:rsidP="008857B2">
      <w:pPr>
        <w:spacing w:after="0" w:line="20" w:lineRule="atLeast"/>
        <w:ind w:left="708"/>
        <w:jc w:val="both"/>
        <w:rPr>
          <w:rFonts w:ascii="Verdana" w:hAnsi="Verdana"/>
          <w:sz w:val="20"/>
          <w:szCs w:val="20"/>
          <w:lang w:val="fr-FR"/>
        </w:rPr>
      </w:pPr>
    </w:p>
    <w:p w14:paraId="0372A43D" w14:textId="5BBA44B4"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lastRenderedPageBreak/>
        <w:t>Une méta-étude qui rassemble et examine des études montrant que les CEM pe</w:t>
      </w:r>
      <w:r w:rsidRPr="00BB5F60">
        <w:rPr>
          <w:rFonts w:ascii="Verdana" w:hAnsi="Verdana"/>
          <w:sz w:val="20"/>
          <w:szCs w:val="20"/>
          <w:lang w:val="fr-FR"/>
        </w:rPr>
        <w:t>r</w:t>
      </w:r>
      <w:r w:rsidRPr="00BB5F60">
        <w:rPr>
          <w:rFonts w:ascii="Verdana" w:hAnsi="Verdana"/>
          <w:sz w:val="20"/>
          <w:szCs w:val="20"/>
          <w:lang w:val="fr-FR"/>
        </w:rPr>
        <w:t>turbent notre métabolisme cellulaire, en particulier les Voltage-Gated Calcium Channels (VGCC), les canaux calciques dépendant du voltage ?</w:t>
      </w:r>
    </w:p>
    <w:p w14:paraId="2AD212DB" w14:textId="77777777" w:rsidR="00BB5F60" w:rsidRPr="00BB5F60" w:rsidRDefault="00BB5F60" w:rsidP="00C03246">
      <w:pPr>
        <w:spacing w:after="0" w:line="20" w:lineRule="atLeast"/>
        <w:jc w:val="both"/>
        <w:rPr>
          <w:rFonts w:ascii="Verdana" w:hAnsi="Verdana"/>
          <w:sz w:val="20"/>
          <w:szCs w:val="20"/>
          <w:lang w:val="fr-FR"/>
        </w:rPr>
      </w:pPr>
    </w:p>
    <w:p w14:paraId="60137334"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h. Autres études de Martin Pall (diverses années)</w:t>
      </w:r>
    </w:p>
    <w:p w14:paraId="284E37AA" w14:textId="77777777" w:rsidR="008857B2" w:rsidRDefault="008857B2" w:rsidP="008857B2">
      <w:pPr>
        <w:spacing w:after="0" w:line="20" w:lineRule="atLeast"/>
        <w:ind w:left="708"/>
        <w:jc w:val="both"/>
        <w:rPr>
          <w:rFonts w:ascii="Verdana" w:hAnsi="Verdana"/>
          <w:sz w:val="20"/>
          <w:szCs w:val="20"/>
          <w:lang w:val="fr-FR"/>
        </w:rPr>
      </w:pPr>
    </w:p>
    <w:p w14:paraId="653770D3" w14:textId="543C4C76"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Base de données des publications du professeur Pall sur les effets des rayonn</w:t>
      </w:r>
      <w:r w:rsidRPr="00BB5F60">
        <w:rPr>
          <w:rFonts w:ascii="Verdana" w:hAnsi="Verdana"/>
          <w:sz w:val="20"/>
          <w:szCs w:val="20"/>
          <w:lang w:val="fr-FR"/>
        </w:rPr>
        <w:t>e</w:t>
      </w:r>
      <w:r w:rsidRPr="00BB5F60">
        <w:rPr>
          <w:rFonts w:ascii="Verdana" w:hAnsi="Verdana"/>
          <w:sz w:val="20"/>
          <w:szCs w:val="20"/>
          <w:lang w:val="fr-FR"/>
        </w:rPr>
        <w:t>ments des EMR non ionisants, en particulier les champs magnétiques faibles, sur les inflammations chroniques et également sur le mécanisme VGCC.</w:t>
      </w:r>
    </w:p>
    <w:p w14:paraId="61F7054E" w14:textId="77777777" w:rsidR="00BB5F60" w:rsidRPr="00BB5F60" w:rsidRDefault="00BB5F60" w:rsidP="00C03246">
      <w:pPr>
        <w:spacing w:after="0" w:line="20" w:lineRule="atLeast"/>
        <w:jc w:val="both"/>
        <w:rPr>
          <w:rFonts w:ascii="Verdana" w:hAnsi="Verdana"/>
          <w:sz w:val="20"/>
          <w:szCs w:val="20"/>
          <w:lang w:val="fr-FR"/>
        </w:rPr>
      </w:pPr>
    </w:p>
    <w:p w14:paraId="1AF02DD0"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i. Panagopoulos 2019</w:t>
      </w:r>
    </w:p>
    <w:p w14:paraId="3469A719" w14:textId="77777777" w:rsidR="008857B2" w:rsidRDefault="008857B2" w:rsidP="008857B2">
      <w:pPr>
        <w:spacing w:after="0" w:line="20" w:lineRule="atLeast"/>
        <w:ind w:left="708"/>
        <w:jc w:val="both"/>
        <w:rPr>
          <w:rFonts w:ascii="Verdana" w:hAnsi="Verdana"/>
          <w:sz w:val="20"/>
          <w:szCs w:val="20"/>
          <w:lang w:val="fr-FR"/>
        </w:rPr>
      </w:pPr>
    </w:p>
    <w:p w14:paraId="0B1A5244" w14:textId="26415BC0"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Méta-étude démontrant les dommages causés à l'ADN et autres par l'utilisation de téléphones portables et d'autres formes de CEM d'origine humaine. Ce qui est r</w:t>
      </w:r>
      <w:r w:rsidRPr="00BB5F60">
        <w:rPr>
          <w:rFonts w:ascii="Verdana" w:hAnsi="Verdana"/>
          <w:sz w:val="20"/>
          <w:szCs w:val="20"/>
          <w:lang w:val="fr-FR"/>
        </w:rPr>
        <w:t>e</w:t>
      </w:r>
      <w:r w:rsidRPr="00BB5F60">
        <w:rPr>
          <w:rFonts w:ascii="Verdana" w:hAnsi="Verdana"/>
          <w:sz w:val="20"/>
          <w:szCs w:val="20"/>
          <w:lang w:val="fr-FR"/>
        </w:rPr>
        <w:t>marquable dans cette méta-étude, c'est qu'elle a examiné toutes les générations de téléphonie mobile et toutes les formes de communication de données sans fil. L'étude montre qu'outre la puissance du signal, la modulation du signal est ég</w:t>
      </w:r>
      <w:r w:rsidRPr="00BB5F60">
        <w:rPr>
          <w:rFonts w:ascii="Verdana" w:hAnsi="Verdana"/>
          <w:sz w:val="20"/>
          <w:szCs w:val="20"/>
          <w:lang w:val="fr-FR"/>
        </w:rPr>
        <w:t>a</w:t>
      </w:r>
      <w:r w:rsidRPr="00BB5F60">
        <w:rPr>
          <w:rFonts w:ascii="Verdana" w:hAnsi="Verdana"/>
          <w:sz w:val="20"/>
          <w:szCs w:val="20"/>
          <w:lang w:val="fr-FR"/>
        </w:rPr>
        <w:t>lement importante. Plus le signal est modulé, plus les effets sont nocifs.</w:t>
      </w:r>
    </w:p>
    <w:p w14:paraId="49AAD28C" w14:textId="77777777" w:rsidR="00BB5F60" w:rsidRPr="00BB5F60" w:rsidRDefault="00BB5F60" w:rsidP="00C03246">
      <w:pPr>
        <w:spacing w:after="0" w:line="20" w:lineRule="atLeast"/>
        <w:jc w:val="both"/>
        <w:rPr>
          <w:rFonts w:ascii="Verdana" w:hAnsi="Verdana"/>
          <w:sz w:val="20"/>
          <w:szCs w:val="20"/>
          <w:lang w:val="fr-FR"/>
        </w:rPr>
      </w:pPr>
    </w:p>
    <w:p w14:paraId="0BD2BC0B" w14:textId="77777777" w:rsidR="00BB5F60" w:rsidRPr="00BB5F60" w:rsidRDefault="00BB5F60" w:rsidP="00C03246">
      <w:pPr>
        <w:spacing w:after="0" w:line="20" w:lineRule="atLeast"/>
        <w:ind w:firstLine="708"/>
        <w:jc w:val="both"/>
        <w:rPr>
          <w:rFonts w:ascii="Verdana" w:hAnsi="Verdana"/>
          <w:i/>
          <w:iCs/>
          <w:sz w:val="20"/>
          <w:szCs w:val="20"/>
          <w:lang w:val="fr-FR"/>
        </w:rPr>
      </w:pPr>
      <w:r w:rsidRPr="00BB5F60">
        <w:rPr>
          <w:rFonts w:ascii="Verdana" w:hAnsi="Verdana"/>
          <w:i/>
          <w:iCs/>
          <w:sz w:val="20"/>
          <w:szCs w:val="20"/>
          <w:lang w:val="fr-FR"/>
        </w:rPr>
        <w:t xml:space="preserve">j. Études épidémiologiques </w:t>
      </w:r>
    </w:p>
    <w:p w14:paraId="02A8F165" w14:textId="77777777" w:rsidR="008857B2" w:rsidRDefault="008857B2" w:rsidP="008857B2">
      <w:pPr>
        <w:spacing w:after="0" w:line="20" w:lineRule="atLeast"/>
        <w:ind w:left="708"/>
        <w:jc w:val="both"/>
        <w:rPr>
          <w:rFonts w:ascii="Verdana" w:hAnsi="Verdana"/>
          <w:sz w:val="20"/>
          <w:szCs w:val="20"/>
          <w:lang w:val="fr-FR"/>
        </w:rPr>
      </w:pPr>
    </w:p>
    <w:p w14:paraId="7CB2821B" w14:textId="3247AC47" w:rsidR="00B55FC8" w:rsidRP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Recherche à grande échelle auprès des personnes vivant à proximité d'antennes de téléphonie afin de sonder les plaintes de santé résultant d'une exposition a</w:t>
      </w:r>
      <w:r w:rsidRPr="00BB5F60">
        <w:rPr>
          <w:rFonts w:ascii="Verdana" w:hAnsi="Verdana"/>
          <w:sz w:val="20"/>
          <w:szCs w:val="20"/>
          <w:lang w:val="fr-FR"/>
        </w:rPr>
        <w:t>c</w:t>
      </w:r>
      <w:r w:rsidRPr="00BB5F60">
        <w:rPr>
          <w:rFonts w:ascii="Verdana" w:hAnsi="Verdana"/>
          <w:sz w:val="20"/>
          <w:szCs w:val="20"/>
          <w:lang w:val="fr-FR"/>
        </w:rPr>
        <w:t>crue aux CEM.</w:t>
      </w:r>
      <w:r w:rsidR="00B55FC8" w:rsidRPr="00BB5F60">
        <w:rPr>
          <w:rFonts w:ascii="Verdana" w:hAnsi="Verdana"/>
          <w:sz w:val="20"/>
          <w:szCs w:val="20"/>
          <w:lang w:val="fr-FR"/>
        </w:rPr>
        <w:t xml:space="preserve">b. Étude Cerenat 2004-2006 </w:t>
      </w:r>
    </w:p>
    <w:p w14:paraId="38A3D29B" w14:textId="0F6D339D" w:rsidR="007E7D55" w:rsidRDefault="007E7D55" w:rsidP="00C03246">
      <w:pPr>
        <w:pStyle w:val="Sansinterligne"/>
        <w:spacing w:line="20" w:lineRule="atLeast"/>
        <w:jc w:val="both"/>
        <w:rPr>
          <w:rFonts w:ascii="Verdana" w:hAnsi="Verdana"/>
          <w:sz w:val="20"/>
          <w:szCs w:val="20"/>
          <w:lang w:val="fr-FR"/>
        </w:rPr>
      </w:pPr>
    </w:p>
    <w:p w14:paraId="6B61CCE6" w14:textId="77777777" w:rsidR="008857B2" w:rsidRPr="00B37420" w:rsidRDefault="008857B2" w:rsidP="00C03246">
      <w:pPr>
        <w:pStyle w:val="Sansinterligne"/>
        <w:spacing w:line="20" w:lineRule="atLeast"/>
        <w:jc w:val="both"/>
        <w:rPr>
          <w:rFonts w:ascii="Verdana" w:hAnsi="Verdana"/>
          <w:sz w:val="20"/>
          <w:szCs w:val="20"/>
          <w:lang w:val="fr-FR"/>
        </w:rPr>
      </w:pPr>
    </w:p>
    <w:p w14:paraId="42E835F6" w14:textId="5564DDA0" w:rsidR="007E7D55" w:rsidRPr="00B37420" w:rsidRDefault="007E7D55" w:rsidP="00C03246">
      <w:pPr>
        <w:pStyle w:val="Sansinterligne"/>
        <w:spacing w:line="20" w:lineRule="atLeast"/>
        <w:jc w:val="both"/>
        <w:rPr>
          <w:rFonts w:ascii="Verdana" w:hAnsi="Verdana"/>
          <w:sz w:val="20"/>
          <w:szCs w:val="20"/>
          <w:lang w:val="fr-FR"/>
        </w:rPr>
      </w:pPr>
      <w:r w:rsidRPr="00B37420">
        <w:rPr>
          <w:rFonts w:ascii="Verdana" w:hAnsi="Verdana"/>
          <w:b/>
          <w:bCs/>
          <w:sz w:val="20"/>
          <w:szCs w:val="20"/>
          <w:u w:val="single"/>
          <w:lang w:val="fr-FR"/>
        </w:rPr>
        <w:t xml:space="preserve">B. RISQUES ET </w:t>
      </w:r>
      <w:r w:rsidR="000D75F4" w:rsidRPr="00B37420">
        <w:rPr>
          <w:rFonts w:ascii="Verdana" w:hAnsi="Verdana"/>
          <w:b/>
          <w:bCs/>
          <w:sz w:val="20"/>
          <w:szCs w:val="20"/>
          <w:u w:val="single"/>
          <w:lang w:val="fr-FR"/>
        </w:rPr>
        <w:t xml:space="preserve">DOMMAGES POUR </w:t>
      </w:r>
      <w:r w:rsidRPr="00B37420">
        <w:rPr>
          <w:rFonts w:ascii="Verdana" w:hAnsi="Verdana"/>
          <w:b/>
          <w:bCs/>
          <w:sz w:val="20"/>
          <w:szCs w:val="20"/>
          <w:u w:val="single"/>
          <w:lang w:val="fr-FR"/>
        </w:rPr>
        <w:t>L'ENVIRONNEMENT, LA SANTÉ DES PLANTES ET DES ANIMAUX</w:t>
      </w:r>
    </w:p>
    <w:p w14:paraId="3CFDFE2E" w14:textId="77777777" w:rsidR="007E7D55" w:rsidRPr="00B37420" w:rsidRDefault="007E7D55" w:rsidP="00C03246">
      <w:pPr>
        <w:pStyle w:val="Sansinterligne"/>
        <w:spacing w:line="20" w:lineRule="atLeast"/>
        <w:jc w:val="both"/>
        <w:rPr>
          <w:rFonts w:ascii="Verdana" w:hAnsi="Verdana"/>
          <w:sz w:val="20"/>
          <w:szCs w:val="20"/>
          <w:lang w:val="fr-FR"/>
        </w:rPr>
      </w:pPr>
    </w:p>
    <w:p w14:paraId="6AF8BBB2" w14:textId="3BBD63BC" w:rsidR="00CC05F2"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6</w:t>
      </w:r>
      <w:r w:rsidR="00CC05F2" w:rsidRPr="00B37420">
        <w:rPr>
          <w:rFonts w:ascii="Verdana" w:hAnsi="Verdana"/>
          <w:sz w:val="20"/>
          <w:szCs w:val="20"/>
          <w:lang w:val="fr-FR"/>
        </w:rPr>
        <w:t>.</w:t>
      </w:r>
    </w:p>
    <w:p w14:paraId="012957C2" w14:textId="5E930881" w:rsidR="00B55FC8" w:rsidRPr="00B37420" w:rsidRDefault="00CC05F2"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Plusieurs études font également état de dommages à l'</w:t>
      </w:r>
      <w:r w:rsidR="007E7D55" w:rsidRPr="00B37420">
        <w:rPr>
          <w:rFonts w:ascii="Verdana" w:hAnsi="Verdana"/>
          <w:sz w:val="20"/>
          <w:szCs w:val="20"/>
          <w:lang w:val="fr-FR"/>
        </w:rPr>
        <w:t xml:space="preserve">environnement, aux </w:t>
      </w:r>
      <w:r w:rsidR="00B55FC8" w:rsidRPr="00B37420">
        <w:rPr>
          <w:rFonts w:ascii="Verdana" w:hAnsi="Verdana"/>
          <w:sz w:val="20"/>
          <w:szCs w:val="20"/>
          <w:lang w:val="fr-FR"/>
        </w:rPr>
        <w:t xml:space="preserve">plantes et aux animaux </w:t>
      </w:r>
      <w:r w:rsidR="007E7D55" w:rsidRPr="00B37420">
        <w:rPr>
          <w:rFonts w:ascii="Verdana" w:hAnsi="Verdana"/>
          <w:sz w:val="20"/>
          <w:szCs w:val="20"/>
          <w:lang w:val="fr-FR"/>
        </w:rPr>
        <w:t>:</w:t>
      </w:r>
    </w:p>
    <w:p w14:paraId="04DD781A" w14:textId="77777777" w:rsidR="00D25017" w:rsidRPr="00B37420" w:rsidRDefault="00D25017" w:rsidP="00C03246">
      <w:pPr>
        <w:pStyle w:val="Sansinterligne"/>
        <w:spacing w:line="20" w:lineRule="atLeast"/>
        <w:jc w:val="both"/>
        <w:rPr>
          <w:rFonts w:ascii="Verdana" w:hAnsi="Verdana"/>
          <w:sz w:val="20"/>
          <w:szCs w:val="20"/>
          <w:lang w:val="fr-FR"/>
        </w:rPr>
      </w:pPr>
    </w:p>
    <w:p w14:paraId="2A186AB2" w14:textId="489B5B4B" w:rsidR="00B55FC8" w:rsidRPr="00B37420" w:rsidRDefault="00CC05F2" w:rsidP="00C03246">
      <w:pPr>
        <w:spacing w:after="0" w:line="20" w:lineRule="atLeast"/>
        <w:ind w:firstLine="708"/>
        <w:jc w:val="both"/>
        <w:rPr>
          <w:rFonts w:ascii="Verdana" w:hAnsi="Verdana"/>
          <w:i/>
          <w:iCs/>
          <w:sz w:val="20"/>
          <w:szCs w:val="20"/>
          <w:lang w:val="fr-FR"/>
        </w:rPr>
      </w:pPr>
      <w:r w:rsidRPr="00B37420">
        <w:rPr>
          <w:rFonts w:ascii="Verdana" w:hAnsi="Verdana"/>
          <w:i/>
          <w:iCs/>
          <w:sz w:val="20"/>
          <w:szCs w:val="20"/>
          <w:lang w:val="fr-FR"/>
        </w:rPr>
        <w:t>a</w:t>
      </w:r>
      <w:r w:rsidR="00B55FC8" w:rsidRPr="00B37420">
        <w:rPr>
          <w:rFonts w:ascii="Verdana" w:hAnsi="Verdana"/>
          <w:i/>
          <w:iCs/>
          <w:sz w:val="20"/>
          <w:szCs w:val="20"/>
          <w:lang w:val="fr-FR"/>
        </w:rPr>
        <w:t xml:space="preserve">. Mark Broomhall 2000-2015 </w:t>
      </w:r>
    </w:p>
    <w:p w14:paraId="25EBB385" w14:textId="77777777" w:rsidR="008857B2" w:rsidRDefault="008857B2" w:rsidP="008857B2">
      <w:pPr>
        <w:spacing w:after="0" w:line="20" w:lineRule="atLeast"/>
        <w:ind w:left="708"/>
        <w:jc w:val="both"/>
        <w:rPr>
          <w:rFonts w:ascii="Verdana" w:hAnsi="Verdana"/>
          <w:sz w:val="20"/>
          <w:szCs w:val="20"/>
          <w:lang w:val="fr-FR"/>
        </w:rPr>
      </w:pPr>
    </w:p>
    <w:p w14:paraId="5EB82784" w14:textId="6692B9B8"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Les champs électromagnétiques affectent la biodiversité. Sur une période de 15 ans (2000-2015), le botaniste australien Mark Broomhall a mené des recherches pour l'UNESCO sur l'influence des pylônes de transmission dans la réserve nat</w:t>
      </w:r>
      <w:r w:rsidRPr="00BB5F60">
        <w:rPr>
          <w:rFonts w:ascii="Verdana" w:hAnsi="Verdana"/>
          <w:sz w:val="20"/>
          <w:szCs w:val="20"/>
          <w:lang w:val="fr-FR"/>
        </w:rPr>
        <w:t>u</w:t>
      </w:r>
      <w:r w:rsidRPr="00BB5F60">
        <w:rPr>
          <w:rFonts w:ascii="Verdana" w:hAnsi="Verdana"/>
          <w:sz w:val="20"/>
          <w:szCs w:val="20"/>
          <w:lang w:val="fr-FR"/>
        </w:rPr>
        <w:t>relle du Mont Nardi en Australie.</w:t>
      </w:r>
    </w:p>
    <w:p w14:paraId="3AFF1343" w14:textId="77777777" w:rsidR="008857B2" w:rsidRPr="00BB5F60" w:rsidRDefault="008857B2" w:rsidP="008857B2">
      <w:pPr>
        <w:spacing w:after="0" w:line="20" w:lineRule="atLeast"/>
        <w:ind w:left="708"/>
        <w:jc w:val="both"/>
        <w:rPr>
          <w:rFonts w:ascii="Verdana" w:hAnsi="Verdana"/>
          <w:sz w:val="20"/>
          <w:szCs w:val="20"/>
          <w:lang w:val="fr-FR"/>
        </w:rPr>
      </w:pPr>
    </w:p>
    <w:p w14:paraId="59D0DB54" w14:textId="3C127FD9"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Le chercheur Broomhall a constaté que le nombre et les espèces d'animaux avaient fortement diminué: 3 espèces de chauves-souris sont devenues rares ou ont disparu, 11 espèces d'oiseaux et 11 espèces d'oiseaux migrateurs ont disparu, 86 espèces d'oiseaux présentent des comportements non naturels, 66 espèces d'oiseaux autrefois communes sont désormais rares ou ont disparu, les papillons de nuit, les fourmis et les abeilles sont devenus rares, les populations d'insectes ont été réduites de 80 à 90 %.</w:t>
      </w:r>
    </w:p>
    <w:p w14:paraId="2CBF699F" w14:textId="77777777" w:rsidR="00C766F1" w:rsidRPr="00BB5F60" w:rsidRDefault="00C766F1" w:rsidP="00C03246">
      <w:pPr>
        <w:spacing w:after="0" w:line="20" w:lineRule="atLeast"/>
        <w:jc w:val="both"/>
        <w:rPr>
          <w:rFonts w:ascii="Verdana" w:hAnsi="Verdana"/>
          <w:sz w:val="20"/>
          <w:szCs w:val="20"/>
          <w:lang w:val="fr-FR"/>
        </w:rPr>
      </w:pPr>
    </w:p>
    <w:p w14:paraId="3C7B0054" w14:textId="77777777" w:rsidR="00BB5F60" w:rsidRPr="00BB5F60" w:rsidRDefault="00BB5F60" w:rsidP="008857B2">
      <w:pPr>
        <w:spacing w:after="0" w:line="20" w:lineRule="atLeast"/>
        <w:ind w:left="708"/>
        <w:jc w:val="both"/>
        <w:rPr>
          <w:rFonts w:ascii="Verdana" w:hAnsi="Verdana"/>
          <w:sz w:val="20"/>
          <w:szCs w:val="20"/>
          <w:lang w:val="fr-FR"/>
        </w:rPr>
      </w:pPr>
      <w:r w:rsidRPr="00BB5F60">
        <w:rPr>
          <w:rFonts w:ascii="Verdana" w:hAnsi="Verdana"/>
          <w:i/>
          <w:iCs/>
          <w:sz w:val="20"/>
          <w:szCs w:val="20"/>
          <w:lang w:val="fr-FR"/>
        </w:rPr>
        <w:t>b. Ulrich Warnke : Bienen, Vögel und Menschen Die Zerstörung der natuur durch</w:t>
      </w:r>
      <w:r w:rsidRPr="00BB5F60">
        <w:rPr>
          <w:rFonts w:ascii="Verdana" w:hAnsi="Verdana"/>
          <w:sz w:val="20"/>
          <w:szCs w:val="20"/>
          <w:lang w:val="fr-FR"/>
        </w:rPr>
        <w:t xml:space="preserve"> </w:t>
      </w:r>
      <w:r w:rsidRPr="00C766F1">
        <w:rPr>
          <w:rFonts w:ascii="Verdana" w:hAnsi="Verdana"/>
          <w:i/>
          <w:iCs/>
          <w:sz w:val="20"/>
          <w:szCs w:val="20"/>
          <w:lang w:val="fr-FR"/>
        </w:rPr>
        <w:t>Electrosmog, 2008</w:t>
      </w:r>
      <w:r w:rsidRPr="00BB5F60">
        <w:rPr>
          <w:rFonts w:ascii="Verdana" w:hAnsi="Verdana"/>
          <w:sz w:val="20"/>
          <w:szCs w:val="20"/>
          <w:lang w:val="fr-FR"/>
        </w:rPr>
        <w:t xml:space="preserve"> (Des abeilles, des oiseaux et des hommes – la destruction de la nature par l’ « électrosmog »)</w:t>
      </w:r>
    </w:p>
    <w:p w14:paraId="243C2442" w14:textId="77777777" w:rsidR="008857B2" w:rsidRDefault="008857B2" w:rsidP="008857B2">
      <w:pPr>
        <w:spacing w:after="0" w:line="20" w:lineRule="atLeast"/>
        <w:ind w:left="708"/>
        <w:jc w:val="both"/>
        <w:rPr>
          <w:rFonts w:ascii="Verdana" w:hAnsi="Verdana"/>
          <w:sz w:val="20"/>
          <w:szCs w:val="20"/>
          <w:lang w:val="fr-FR"/>
        </w:rPr>
      </w:pPr>
    </w:p>
    <w:p w14:paraId="06659AE8" w14:textId="5E52A977"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Le contact avec le champ électromagnétique naturel de la Terre est gravement perturbé pour tous les êtres vivants par une intensité sans précédent (1012) des champs électromagnétiques créés par l'être humain. Cela perturbe l'orientation et la communication des animaux et le fonctionnement naturel de tous les processus biologiques des plantes, des humains et des animaux.</w:t>
      </w:r>
    </w:p>
    <w:p w14:paraId="2FF69205" w14:textId="77777777" w:rsidR="00C766F1" w:rsidRPr="00BB5F60" w:rsidRDefault="00C766F1" w:rsidP="00C03246">
      <w:pPr>
        <w:spacing w:after="0" w:line="20" w:lineRule="atLeast"/>
        <w:jc w:val="both"/>
        <w:rPr>
          <w:rFonts w:ascii="Verdana" w:hAnsi="Verdana"/>
          <w:sz w:val="20"/>
          <w:szCs w:val="20"/>
          <w:lang w:val="fr-FR"/>
        </w:rPr>
      </w:pPr>
    </w:p>
    <w:p w14:paraId="02F46304" w14:textId="77777777" w:rsidR="00BB5F60" w:rsidRPr="00C766F1" w:rsidRDefault="00BB5F60" w:rsidP="008857B2">
      <w:pPr>
        <w:spacing w:after="0" w:line="20" w:lineRule="atLeast"/>
        <w:ind w:left="708"/>
        <w:jc w:val="both"/>
        <w:rPr>
          <w:rFonts w:ascii="Verdana" w:hAnsi="Verdana"/>
          <w:i/>
          <w:iCs/>
          <w:sz w:val="20"/>
          <w:szCs w:val="20"/>
          <w:lang w:val="fr-FR"/>
        </w:rPr>
      </w:pPr>
      <w:r w:rsidRPr="00C766F1">
        <w:rPr>
          <w:rFonts w:ascii="Verdana" w:hAnsi="Verdana"/>
          <w:i/>
          <w:iCs/>
          <w:sz w:val="20"/>
          <w:szCs w:val="20"/>
          <w:lang w:val="fr-FR"/>
        </w:rPr>
        <w:t xml:space="preserve">c. Daniel Fabre 2011 </w:t>
      </w:r>
    </w:p>
    <w:p w14:paraId="7149B82F" w14:textId="77777777" w:rsidR="008857B2" w:rsidRDefault="008857B2" w:rsidP="008857B2">
      <w:pPr>
        <w:spacing w:after="0" w:line="20" w:lineRule="atLeast"/>
        <w:ind w:left="708"/>
        <w:jc w:val="both"/>
        <w:rPr>
          <w:rFonts w:ascii="Verdana" w:hAnsi="Verdana"/>
          <w:sz w:val="20"/>
          <w:szCs w:val="20"/>
          <w:lang w:val="fr-FR"/>
        </w:rPr>
      </w:pPr>
    </w:p>
    <w:p w14:paraId="748754C9" w14:textId="5E800B98"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Étude de l'influence des rayonnements à haute fréquence sur le comportement des abeilles. Le rayonnement électromagnétique des téléphones mobiles perturbe la communication entre les abeilles et l'interaction normale de la population d'abeilles</w:t>
      </w:r>
      <w:r w:rsidR="00C766F1">
        <w:rPr>
          <w:rFonts w:ascii="Verdana" w:hAnsi="Verdana"/>
          <w:sz w:val="20"/>
          <w:szCs w:val="20"/>
          <w:lang w:val="fr-FR"/>
        </w:rPr>
        <w:t>.</w:t>
      </w:r>
    </w:p>
    <w:p w14:paraId="11AB52AD" w14:textId="77777777" w:rsidR="00C766F1" w:rsidRPr="00BB5F60" w:rsidRDefault="00C766F1" w:rsidP="008857B2">
      <w:pPr>
        <w:spacing w:after="0" w:line="20" w:lineRule="atLeast"/>
        <w:ind w:left="708"/>
        <w:jc w:val="both"/>
        <w:rPr>
          <w:rFonts w:ascii="Verdana" w:hAnsi="Verdana"/>
          <w:sz w:val="20"/>
          <w:szCs w:val="20"/>
          <w:lang w:val="fr-FR"/>
        </w:rPr>
      </w:pPr>
    </w:p>
    <w:p w14:paraId="06CC960A" w14:textId="77777777" w:rsidR="00BB5F60" w:rsidRPr="00C766F1" w:rsidRDefault="00BB5F60" w:rsidP="008857B2">
      <w:pPr>
        <w:spacing w:after="0" w:line="20" w:lineRule="atLeast"/>
        <w:ind w:left="708"/>
        <w:jc w:val="both"/>
        <w:rPr>
          <w:rFonts w:ascii="Verdana" w:hAnsi="Verdana"/>
          <w:i/>
          <w:iCs/>
          <w:sz w:val="20"/>
          <w:szCs w:val="20"/>
          <w:lang w:val="fr-FR"/>
        </w:rPr>
      </w:pPr>
      <w:r w:rsidRPr="00C766F1">
        <w:rPr>
          <w:rFonts w:ascii="Verdana" w:hAnsi="Verdana"/>
          <w:i/>
          <w:iCs/>
          <w:sz w:val="20"/>
          <w:szCs w:val="20"/>
          <w:lang w:val="fr-FR"/>
        </w:rPr>
        <w:t>d. Étude Balmori 2015</w:t>
      </w:r>
    </w:p>
    <w:p w14:paraId="006FDD0E" w14:textId="77777777" w:rsidR="008857B2" w:rsidRDefault="008857B2" w:rsidP="008857B2">
      <w:pPr>
        <w:spacing w:after="0" w:line="20" w:lineRule="atLeast"/>
        <w:ind w:left="708"/>
        <w:jc w:val="both"/>
        <w:rPr>
          <w:rFonts w:ascii="Verdana" w:hAnsi="Verdana"/>
          <w:sz w:val="20"/>
          <w:szCs w:val="20"/>
          <w:lang w:val="fr-FR"/>
        </w:rPr>
      </w:pPr>
    </w:p>
    <w:p w14:paraId="71A4C124" w14:textId="0A0F1A47"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L'exposition aux niveaux actuels de rayonnement dans les villes et à proximité des antennes de téléphonie mobile affecte le fonctionnement des récepteurs des champs magnétiques terrestres que les oiseaux et les insectes utilisent pour s'orienter. Cela peut avoir de graves conséquences pour les oiseaux migrateurs et les insectes, non seulement à proximité des villes mais aussi dans les zones nat</w:t>
      </w:r>
      <w:r w:rsidRPr="00BB5F60">
        <w:rPr>
          <w:rFonts w:ascii="Verdana" w:hAnsi="Verdana"/>
          <w:sz w:val="20"/>
          <w:szCs w:val="20"/>
          <w:lang w:val="fr-FR"/>
        </w:rPr>
        <w:t>u</w:t>
      </w:r>
      <w:r w:rsidRPr="00BB5F60">
        <w:rPr>
          <w:rFonts w:ascii="Verdana" w:hAnsi="Verdana"/>
          <w:sz w:val="20"/>
          <w:szCs w:val="20"/>
          <w:lang w:val="fr-FR"/>
        </w:rPr>
        <w:t>relles protégées.</w:t>
      </w:r>
    </w:p>
    <w:p w14:paraId="62021033" w14:textId="77777777" w:rsidR="00C766F1" w:rsidRPr="00BB5F60" w:rsidRDefault="00C766F1" w:rsidP="008857B2">
      <w:pPr>
        <w:spacing w:after="0" w:line="20" w:lineRule="atLeast"/>
        <w:ind w:left="708"/>
        <w:jc w:val="both"/>
        <w:rPr>
          <w:rFonts w:ascii="Verdana" w:hAnsi="Verdana"/>
          <w:sz w:val="20"/>
          <w:szCs w:val="20"/>
          <w:lang w:val="fr-FR"/>
        </w:rPr>
      </w:pPr>
    </w:p>
    <w:p w14:paraId="5892752B" w14:textId="77777777" w:rsidR="00BB5F60" w:rsidRPr="00C766F1" w:rsidRDefault="00BB5F60" w:rsidP="008857B2">
      <w:pPr>
        <w:spacing w:after="0" w:line="20" w:lineRule="atLeast"/>
        <w:ind w:left="708"/>
        <w:jc w:val="both"/>
        <w:rPr>
          <w:rFonts w:ascii="Verdana" w:hAnsi="Verdana"/>
          <w:i/>
          <w:iCs/>
          <w:sz w:val="20"/>
          <w:szCs w:val="20"/>
          <w:lang w:val="fr-FR"/>
        </w:rPr>
      </w:pPr>
      <w:r w:rsidRPr="00C766F1">
        <w:rPr>
          <w:rFonts w:ascii="Verdana" w:hAnsi="Verdana"/>
          <w:i/>
          <w:iCs/>
          <w:sz w:val="20"/>
          <w:szCs w:val="20"/>
          <w:lang w:val="fr-FR"/>
        </w:rPr>
        <w:t>e. Yakymenko et al. 2015</w:t>
      </w:r>
    </w:p>
    <w:p w14:paraId="0972896F" w14:textId="77777777" w:rsidR="008857B2" w:rsidRDefault="008857B2" w:rsidP="008857B2">
      <w:pPr>
        <w:spacing w:after="0" w:line="20" w:lineRule="atLeast"/>
        <w:ind w:left="708"/>
        <w:jc w:val="both"/>
        <w:rPr>
          <w:rFonts w:ascii="Verdana" w:hAnsi="Verdana"/>
          <w:sz w:val="20"/>
          <w:szCs w:val="20"/>
          <w:lang w:val="fr-FR"/>
        </w:rPr>
      </w:pPr>
    </w:p>
    <w:p w14:paraId="05A5CC77" w14:textId="3B5365BB" w:rsidR="00BB5F60" w:rsidRP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Méta-étude de 100 études revues par des pairs. 93 des 100 études mettent en évidence des effets moléculaires des rayonnements de radiofréquence de faible i</w:t>
      </w:r>
      <w:r w:rsidRPr="00BB5F60">
        <w:rPr>
          <w:rFonts w:ascii="Verdana" w:hAnsi="Verdana"/>
          <w:sz w:val="20"/>
          <w:szCs w:val="20"/>
          <w:lang w:val="fr-FR"/>
        </w:rPr>
        <w:t>n</w:t>
      </w:r>
      <w:r w:rsidRPr="00BB5F60">
        <w:rPr>
          <w:rFonts w:ascii="Verdana" w:hAnsi="Verdana"/>
          <w:sz w:val="20"/>
          <w:szCs w:val="20"/>
          <w:lang w:val="fr-FR"/>
        </w:rPr>
        <w:t>tensité, notamment une activation significative du stress oxydatif cellulaire et des lésions de l'ADN. Cette activation donne naissance au cancer et à d'autres pertu</w:t>
      </w:r>
      <w:r w:rsidRPr="00BB5F60">
        <w:rPr>
          <w:rFonts w:ascii="Verdana" w:hAnsi="Verdana"/>
          <w:sz w:val="20"/>
          <w:szCs w:val="20"/>
          <w:lang w:val="fr-FR"/>
        </w:rPr>
        <w:t>r</w:t>
      </w:r>
      <w:r w:rsidRPr="00BB5F60">
        <w:rPr>
          <w:rFonts w:ascii="Verdana" w:hAnsi="Verdana"/>
          <w:sz w:val="20"/>
          <w:szCs w:val="20"/>
          <w:lang w:val="fr-FR"/>
        </w:rPr>
        <w:t>bations pathogènes.</w:t>
      </w:r>
    </w:p>
    <w:p w14:paraId="44A19C8A" w14:textId="77777777" w:rsidR="00BB5F60" w:rsidRPr="00BB5F60" w:rsidRDefault="00BB5F60" w:rsidP="008857B2">
      <w:pPr>
        <w:spacing w:after="0" w:line="20" w:lineRule="atLeast"/>
        <w:ind w:left="708"/>
        <w:jc w:val="both"/>
        <w:rPr>
          <w:rFonts w:ascii="Verdana" w:hAnsi="Verdana"/>
          <w:sz w:val="20"/>
          <w:szCs w:val="20"/>
          <w:lang w:val="fr-FR"/>
        </w:rPr>
      </w:pPr>
    </w:p>
    <w:p w14:paraId="06FF3387" w14:textId="77777777" w:rsidR="00BB5F60" w:rsidRPr="00C766F1" w:rsidRDefault="00BB5F60" w:rsidP="008857B2">
      <w:pPr>
        <w:spacing w:after="0" w:line="20" w:lineRule="atLeast"/>
        <w:ind w:left="708"/>
        <w:jc w:val="both"/>
        <w:rPr>
          <w:rFonts w:ascii="Verdana" w:hAnsi="Verdana"/>
          <w:i/>
          <w:iCs/>
          <w:sz w:val="20"/>
          <w:szCs w:val="20"/>
          <w:lang w:val="fr-FR"/>
        </w:rPr>
      </w:pPr>
      <w:r w:rsidRPr="00C766F1">
        <w:rPr>
          <w:rFonts w:ascii="Verdana" w:hAnsi="Verdana"/>
          <w:i/>
          <w:iCs/>
          <w:sz w:val="20"/>
          <w:szCs w:val="20"/>
          <w:lang w:val="fr-FR"/>
        </w:rPr>
        <w:t>f. Shende et al. 2015</w:t>
      </w:r>
    </w:p>
    <w:p w14:paraId="2C790F79" w14:textId="77777777" w:rsidR="008857B2" w:rsidRDefault="008857B2" w:rsidP="008857B2">
      <w:pPr>
        <w:spacing w:after="0" w:line="20" w:lineRule="atLeast"/>
        <w:ind w:left="708"/>
        <w:jc w:val="both"/>
        <w:rPr>
          <w:rFonts w:ascii="Verdana" w:hAnsi="Verdana"/>
          <w:sz w:val="20"/>
          <w:szCs w:val="20"/>
          <w:lang w:val="fr-FR"/>
        </w:rPr>
      </w:pPr>
    </w:p>
    <w:p w14:paraId="076869E9" w14:textId="1A46E2D7"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Étude de l'impact des rayonnements de haute fréquence (télécom) sur la popul</w:t>
      </w:r>
      <w:r w:rsidRPr="00BB5F60">
        <w:rPr>
          <w:rFonts w:ascii="Verdana" w:hAnsi="Verdana"/>
          <w:sz w:val="20"/>
          <w:szCs w:val="20"/>
          <w:lang w:val="fr-FR"/>
        </w:rPr>
        <w:t>a</w:t>
      </w:r>
      <w:r w:rsidRPr="00BB5F60">
        <w:rPr>
          <w:rFonts w:ascii="Verdana" w:hAnsi="Verdana"/>
          <w:sz w:val="20"/>
          <w:szCs w:val="20"/>
          <w:lang w:val="fr-FR"/>
        </w:rPr>
        <w:t>tion de moineaux domestiques dans les villes. Une mesure comparative mensuelle du nombre de moineaux domestiques dans les zones urbaines et rurales indique une baisse mensuelle significative du nombre de moineaux domestiques dans les zones urbaines, où il y a beaucoup plus de rayonnement de haute fréquence que dans les zones plus rurales où le rayonnement est moindre.</w:t>
      </w:r>
    </w:p>
    <w:p w14:paraId="6567610D" w14:textId="77777777" w:rsidR="00C766F1" w:rsidRPr="00BB5F60" w:rsidRDefault="00C766F1" w:rsidP="008857B2">
      <w:pPr>
        <w:spacing w:after="0" w:line="20" w:lineRule="atLeast"/>
        <w:ind w:left="708"/>
        <w:jc w:val="both"/>
        <w:rPr>
          <w:rFonts w:ascii="Verdana" w:hAnsi="Verdana"/>
          <w:sz w:val="20"/>
          <w:szCs w:val="20"/>
          <w:lang w:val="fr-FR"/>
        </w:rPr>
      </w:pPr>
    </w:p>
    <w:p w14:paraId="4BB3B509" w14:textId="77777777" w:rsidR="00BB5F60" w:rsidRPr="00C766F1" w:rsidRDefault="00BB5F60" w:rsidP="008857B2">
      <w:pPr>
        <w:spacing w:after="0" w:line="20" w:lineRule="atLeast"/>
        <w:ind w:left="708"/>
        <w:jc w:val="both"/>
        <w:rPr>
          <w:rFonts w:ascii="Verdana" w:hAnsi="Verdana"/>
          <w:i/>
          <w:iCs/>
          <w:sz w:val="20"/>
          <w:szCs w:val="20"/>
          <w:lang w:val="fr-FR"/>
        </w:rPr>
      </w:pPr>
      <w:r w:rsidRPr="00C766F1">
        <w:rPr>
          <w:rFonts w:ascii="Verdana" w:hAnsi="Verdana"/>
          <w:i/>
          <w:iCs/>
          <w:sz w:val="20"/>
          <w:szCs w:val="20"/>
          <w:lang w:val="fr-FR"/>
        </w:rPr>
        <w:t>g. Waldman et al. 2016</w:t>
      </w:r>
    </w:p>
    <w:p w14:paraId="0BE99006" w14:textId="77777777" w:rsidR="008857B2" w:rsidRDefault="008857B2" w:rsidP="008857B2">
      <w:pPr>
        <w:spacing w:after="0" w:line="20" w:lineRule="atLeast"/>
        <w:ind w:left="708"/>
        <w:jc w:val="both"/>
        <w:rPr>
          <w:rFonts w:ascii="Verdana" w:hAnsi="Verdana"/>
          <w:sz w:val="20"/>
          <w:szCs w:val="20"/>
          <w:lang w:val="fr-FR"/>
        </w:rPr>
      </w:pPr>
    </w:p>
    <w:p w14:paraId="4834E63F" w14:textId="0DE100D4"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Importante étude allemande sur 10 ans concernant l'effet nocif des CEM sur les arbres. Des arbres irradiés avec moins de 0,14V/m (50µW/m²) ont montré des e</w:t>
      </w:r>
      <w:r w:rsidRPr="00BB5F60">
        <w:rPr>
          <w:rFonts w:ascii="Verdana" w:hAnsi="Verdana"/>
          <w:sz w:val="20"/>
          <w:szCs w:val="20"/>
          <w:lang w:val="fr-FR"/>
        </w:rPr>
        <w:t>f</w:t>
      </w:r>
      <w:r w:rsidRPr="00BB5F60">
        <w:rPr>
          <w:rFonts w:ascii="Verdana" w:hAnsi="Verdana"/>
          <w:sz w:val="20"/>
          <w:szCs w:val="20"/>
          <w:lang w:val="fr-FR"/>
        </w:rPr>
        <w:t xml:space="preserve">fets remarquablement moins nocifs des CEM que les arbres exposés à des valeurs de rayonnement plus élevées. </w:t>
      </w:r>
    </w:p>
    <w:p w14:paraId="75725E5D" w14:textId="77777777" w:rsidR="00C766F1" w:rsidRPr="00BB5F60" w:rsidRDefault="00C766F1" w:rsidP="008857B2">
      <w:pPr>
        <w:spacing w:after="0" w:line="20" w:lineRule="atLeast"/>
        <w:ind w:left="708"/>
        <w:jc w:val="both"/>
        <w:rPr>
          <w:rFonts w:ascii="Verdana" w:hAnsi="Verdana"/>
          <w:sz w:val="20"/>
          <w:szCs w:val="20"/>
          <w:lang w:val="fr-FR"/>
        </w:rPr>
      </w:pPr>
    </w:p>
    <w:p w14:paraId="3071DFC5" w14:textId="77777777" w:rsidR="00BB5F60" w:rsidRPr="00C766F1" w:rsidRDefault="00BB5F60" w:rsidP="008857B2">
      <w:pPr>
        <w:spacing w:after="0" w:line="20" w:lineRule="atLeast"/>
        <w:ind w:left="708"/>
        <w:jc w:val="both"/>
        <w:rPr>
          <w:rFonts w:ascii="Verdana" w:hAnsi="Verdana"/>
          <w:i/>
          <w:iCs/>
          <w:sz w:val="20"/>
          <w:szCs w:val="20"/>
          <w:lang w:val="fr-FR"/>
        </w:rPr>
      </w:pPr>
      <w:r w:rsidRPr="00C766F1">
        <w:rPr>
          <w:rFonts w:ascii="Verdana" w:hAnsi="Verdana"/>
          <w:i/>
          <w:iCs/>
          <w:sz w:val="20"/>
          <w:szCs w:val="20"/>
          <w:lang w:val="fr-FR"/>
        </w:rPr>
        <w:t xml:space="preserve">h. Halgamuge 2017 </w:t>
      </w:r>
    </w:p>
    <w:p w14:paraId="1C79F60D" w14:textId="77777777" w:rsidR="008857B2" w:rsidRDefault="008857B2" w:rsidP="008857B2">
      <w:pPr>
        <w:spacing w:after="0" w:line="20" w:lineRule="atLeast"/>
        <w:ind w:left="708"/>
        <w:jc w:val="both"/>
        <w:rPr>
          <w:rFonts w:ascii="Verdana" w:hAnsi="Verdana"/>
          <w:sz w:val="20"/>
          <w:szCs w:val="20"/>
          <w:lang w:val="fr-FR"/>
        </w:rPr>
      </w:pPr>
    </w:p>
    <w:p w14:paraId="1BA25D17" w14:textId="52D6FB77" w:rsidR="00BB5F60"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Méta-étude de 45 études évaluées par des pairs sur les effets non thermiques des CEM sur 29 espèces végétales. Parmi les études examinées, 89,9% indiquent des influences physiologiques et morphologiques. La recherche montre également que les plantes sont plus sensibles à certaines bandes de fréquences. Ces bandes sont : 800-1500MHz, 1500-2400MHz, 3500-8000MHz.</w:t>
      </w:r>
    </w:p>
    <w:p w14:paraId="3B3D0184" w14:textId="77777777" w:rsidR="00C766F1" w:rsidRPr="00BB5F60" w:rsidRDefault="00C766F1" w:rsidP="008857B2">
      <w:pPr>
        <w:spacing w:after="0" w:line="20" w:lineRule="atLeast"/>
        <w:ind w:left="708"/>
        <w:jc w:val="both"/>
        <w:rPr>
          <w:rFonts w:ascii="Verdana" w:hAnsi="Verdana"/>
          <w:sz w:val="20"/>
          <w:szCs w:val="20"/>
          <w:lang w:val="fr-FR"/>
        </w:rPr>
      </w:pPr>
    </w:p>
    <w:p w14:paraId="3ED9EAA3" w14:textId="77777777" w:rsidR="00BB5F60" w:rsidRPr="00C766F1" w:rsidRDefault="00BB5F60" w:rsidP="008857B2">
      <w:pPr>
        <w:spacing w:after="0" w:line="20" w:lineRule="atLeast"/>
        <w:ind w:left="708"/>
        <w:jc w:val="both"/>
        <w:rPr>
          <w:rFonts w:ascii="Verdana" w:hAnsi="Verdana"/>
          <w:i/>
          <w:iCs/>
          <w:sz w:val="20"/>
          <w:szCs w:val="20"/>
          <w:lang w:val="fr-FR"/>
        </w:rPr>
      </w:pPr>
      <w:r w:rsidRPr="00C766F1">
        <w:rPr>
          <w:rFonts w:ascii="Verdana" w:hAnsi="Verdana"/>
          <w:i/>
          <w:iCs/>
          <w:sz w:val="20"/>
          <w:szCs w:val="20"/>
          <w:lang w:val="fr-FR"/>
        </w:rPr>
        <w:t>i. Thielens et al 2018</w:t>
      </w:r>
    </w:p>
    <w:p w14:paraId="3E620E9A" w14:textId="77777777" w:rsidR="008857B2" w:rsidRDefault="008857B2" w:rsidP="008857B2">
      <w:pPr>
        <w:spacing w:after="0" w:line="20" w:lineRule="atLeast"/>
        <w:ind w:left="708"/>
        <w:jc w:val="both"/>
        <w:rPr>
          <w:rFonts w:ascii="Verdana" w:hAnsi="Verdana"/>
          <w:sz w:val="20"/>
          <w:szCs w:val="20"/>
          <w:lang w:val="fr-FR"/>
        </w:rPr>
      </w:pPr>
    </w:p>
    <w:p w14:paraId="547763A9" w14:textId="3126F3C1" w:rsidR="007430D5" w:rsidRDefault="00BB5F60" w:rsidP="008857B2">
      <w:pPr>
        <w:spacing w:after="0" w:line="20" w:lineRule="atLeast"/>
        <w:ind w:left="708"/>
        <w:jc w:val="both"/>
        <w:rPr>
          <w:rFonts w:ascii="Verdana" w:hAnsi="Verdana"/>
          <w:sz w:val="20"/>
          <w:szCs w:val="20"/>
          <w:lang w:val="fr-FR"/>
        </w:rPr>
      </w:pPr>
      <w:r w:rsidRPr="00BB5F60">
        <w:rPr>
          <w:rFonts w:ascii="Verdana" w:hAnsi="Verdana"/>
          <w:sz w:val="20"/>
          <w:szCs w:val="20"/>
          <w:lang w:val="fr-FR"/>
        </w:rPr>
        <w:t>Influence des champs électromagnétiques (CEM) de 2 à 120 GHz sur les insectes. L'étude montre une augmentation de la température des insectes lors de l’utilisation de fréquences EMF plus élevées. Les fréquences supérieures à 6 GHz sont particulièrement nocives pour les insectes d’une taille inférieure à 1 cm. Les technologies 5G et 6G veulent utiliser des fréquences aussi élevées. Ces fr</w:t>
      </w:r>
      <w:r w:rsidRPr="00BB5F60">
        <w:rPr>
          <w:rFonts w:ascii="Verdana" w:hAnsi="Verdana"/>
          <w:sz w:val="20"/>
          <w:szCs w:val="20"/>
          <w:lang w:val="fr-FR"/>
        </w:rPr>
        <w:t>é</w:t>
      </w:r>
      <w:r w:rsidRPr="00BB5F60">
        <w:rPr>
          <w:rFonts w:ascii="Verdana" w:hAnsi="Verdana"/>
          <w:sz w:val="20"/>
          <w:szCs w:val="20"/>
          <w:lang w:val="fr-FR"/>
        </w:rPr>
        <w:t>quences sont actuellement sans licence.</w:t>
      </w:r>
    </w:p>
    <w:p w14:paraId="1B6E8DD3" w14:textId="5778DB18" w:rsidR="00C766F1" w:rsidRDefault="00C766F1" w:rsidP="00C03246">
      <w:pPr>
        <w:spacing w:after="0" w:line="20" w:lineRule="atLeast"/>
        <w:jc w:val="both"/>
        <w:rPr>
          <w:rFonts w:ascii="Verdana" w:hAnsi="Verdana"/>
          <w:sz w:val="20"/>
          <w:szCs w:val="20"/>
          <w:lang w:val="fr-FR"/>
        </w:rPr>
      </w:pPr>
    </w:p>
    <w:p w14:paraId="527A193C" w14:textId="77777777" w:rsidR="008857B2" w:rsidRPr="00B37420" w:rsidRDefault="008857B2" w:rsidP="00C03246">
      <w:pPr>
        <w:spacing w:after="0" w:line="20" w:lineRule="atLeast"/>
        <w:jc w:val="both"/>
        <w:rPr>
          <w:rFonts w:ascii="Verdana" w:hAnsi="Verdana"/>
          <w:sz w:val="20"/>
          <w:szCs w:val="20"/>
          <w:lang w:val="fr-FR"/>
        </w:rPr>
      </w:pPr>
    </w:p>
    <w:p w14:paraId="21510012" w14:textId="2A88FFD4" w:rsidR="00F86662" w:rsidRPr="00B37420" w:rsidRDefault="00CC05F2" w:rsidP="00C03246">
      <w:pPr>
        <w:spacing w:after="0" w:line="20" w:lineRule="atLeast"/>
        <w:jc w:val="both"/>
        <w:rPr>
          <w:rFonts w:ascii="Verdana" w:hAnsi="Verdana"/>
          <w:b/>
          <w:bCs/>
          <w:sz w:val="20"/>
          <w:szCs w:val="20"/>
          <w:u w:val="single"/>
          <w:lang w:val="fr-FR"/>
        </w:rPr>
      </w:pPr>
      <w:r w:rsidRPr="00B37420">
        <w:rPr>
          <w:rFonts w:ascii="Verdana" w:hAnsi="Verdana"/>
          <w:b/>
          <w:bCs/>
          <w:sz w:val="20"/>
          <w:szCs w:val="20"/>
          <w:u w:val="single"/>
          <w:lang w:val="fr-FR"/>
        </w:rPr>
        <w:t>III</w:t>
      </w:r>
      <w:r w:rsidR="00F86662" w:rsidRPr="00B37420">
        <w:rPr>
          <w:rFonts w:ascii="Verdana" w:hAnsi="Verdana"/>
          <w:b/>
          <w:bCs/>
          <w:sz w:val="20"/>
          <w:szCs w:val="20"/>
          <w:u w:val="single"/>
          <w:lang w:val="fr-FR"/>
        </w:rPr>
        <w:t>. LES DEMANDEURS ONT UN INTÉRÊT</w:t>
      </w:r>
    </w:p>
    <w:p w14:paraId="07DC84F2" w14:textId="6BA7E575" w:rsidR="00046CBC"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7</w:t>
      </w:r>
      <w:r w:rsidR="00046CBC" w:rsidRPr="00B37420">
        <w:rPr>
          <w:rFonts w:ascii="Verdana" w:hAnsi="Verdana"/>
          <w:sz w:val="20"/>
          <w:szCs w:val="20"/>
          <w:lang w:val="fr-FR"/>
        </w:rPr>
        <w:t>.</w:t>
      </w:r>
    </w:p>
    <w:p w14:paraId="475A17CD" w14:textId="5FDF2BBE" w:rsidR="00CB0FDF" w:rsidRDefault="00CB0FDF" w:rsidP="00C03246">
      <w:pPr>
        <w:pStyle w:val="Sansinterligne"/>
        <w:spacing w:line="20" w:lineRule="atLeast"/>
        <w:jc w:val="both"/>
        <w:rPr>
          <w:rFonts w:ascii="Verdana" w:hAnsi="Verdana"/>
          <w:sz w:val="20"/>
          <w:szCs w:val="20"/>
          <w:lang w:val="fr-FR"/>
        </w:rPr>
      </w:pPr>
      <w:r w:rsidRPr="00CB0FDF">
        <w:rPr>
          <w:rFonts w:ascii="Verdana" w:hAnsi="Verdana"/>
          <w:sz w:val="20"/>
          <w:szCs w:val="20"/>
          <w:lang w:val="fr-FR"/>
        </w:rPr>
        <w:t>Les requérants ont l'intérêt requis pour introduire le présent recours, en vertu des a</w:t>
      </w:r>
      <w:r w:rsidRPr="00CB0FDF">
        <w:rPr>
          <w:rFonts w:ascii="Verdana" w:hAnsi="Verdana"/>
          <w:sz w:val="20"/>
          <w:szCs w:val="20"/>
          <w:lang w:val="fr-FR"/>
        </w:rPr>
        <w:t>r</w:t>
      </w:r>
      <w:r w:rsidRPr="00CB0FDF">
        <w:rPr>
          <w:rFonts w:ascii="Verdana" w:hAnsi="Verdana"/>
          <w:sz w:val="20"/>
          <w:szCs w:val="20"/>
          <w:lang w:val="fr-FR"/>
        </w:rPr>
        <w:t>ticles 17 et 18 du Code judiciaire. La demande d'un plaignant qui invoque un droit su</w:t>
      </w:r>
      <w:r w:rsidRPr="00CB0FDF">
        <w:rPr>
          <w:rFonts w:ascii="Verdana" w:hAnsi="Verdana"/>
          <w:sz w:val="20"/>
          <w:szCs w:val="20"/>
          <w:lang w:val="fr-FR"/>
        </w:rPr>
        <w:t>b</w:t>
      </w:r>
      <w:r w:rsidRPr="00CB0FDF">
        <w:rPr>
          <w:rFonts w:ascii="Verdana" w:hAnsi="Verdana"/>
          <w:sz w:val="20"/>
          <w:szCs w:val="20"/>
          <w:lang w:val="fr-FR"/>
        </w:rPr>
        <w:t>jectif présente automatiquement l'intérêt requis, même si l'existence de ce droit est co</w:t>
      </w:r>
      <w:r w:rsidRPr="00CB0FDF">
        <w:rPr>
          <w:rFonts w:ascii="Verdana" w:hAnsi="Verdana"/>
          <w:sz w:val="20"/>
          <w:szCs w:val="20"/>
          <w:lang w:val="fr-FR"/>
        </w:rPr>
        <w:t>n</w:t>
      </w:r>
      <w:r w:rsidRPr="00CB0FDF">
        <w:rPr>
          <w:rFonts w:ascii="Verdana" w:hAnsi="Verdana"/>
          <w:sz w:val="20"/>
          <w:szCs w:val="20"/>
          <w:lang w:val="fr-FR"/>
        </w:rPr>
        <w:t>testée. L'existence et la portée du droit déterminent le bien-fondé de la demande.</w:t>
      </w:r>
    </w:p>
    <w:p w14:paraId="0F9DF25A" w14:textId="77777777" w:rsidR="00CB0FDF" w:rsidRPr="00CB0FDF" w:rsidRDefault="00CB0FDF" w:rsidP="00C03246">
      <w:pPr>
        <w:pStyle w:val="Sansinterligne"/>
        <w:spacing w:line="20" w:lineRule="atLeast"/>
        <w:jc w:val="both"/>
        <w:rPr>
          <w:rFonts w:ascii="Verdana" w:hAnsi="Verdana"/>
          <w:sz w:val="20"/>
          <w:szCs w:val="20"/>
          <w:lang w:val="fr-FR"/>
        </w:rPr>
      </w:pPr>
    </w:p>
    <w:p w14:paraId="664FF746" w14:textId="77777777" w:rsidR="00CB0FDF" w:rsidRPr="00CB0FDF" w:rsidRDefault="00CB0FDF" w:rsidP="00C03246">
      <w:pPr>
        <w:pStyle w:val="Sansinterligne"/>
        <w:spacing w:line="20" w:lineRule="atLeast"/>
        <w:jc w:val="both"/>
        <w:rPr>
          <w:rFonts w:ascii="Verdana" w:hAnsi="Verdana"/>
          <w:sz w:val="20"/>
          <w:szCs w:val="20"/>
          <w:lang w:val="fr-FR"/>
        </w:rPr>
      </w:pPr>
      <w:r w:rsidRPr="00CB0FDF">
        <w:rPr>
          <w:rFonts w:ascii="Verdana" w:hAnsi="Verdana"/>
          <w:sz w:val="20"/>
          <w:szCs w:val="20"/>
          <w:lang w:val="fr-FR"/>
        </w:rPr>
        <w:t>Lorsque le risque d'irradiation élevée se matérialise, les demandeurs sont exposés à l'a</w:t>
      </w:r>
      <w:r w:rsidRPr="00CB0FDF">
        <w:rPr>
          <w:rFonts w:ascii="Verdana" w:hAnsi="Verdana"/>
          <w:sz w:val="20"/>
          <w:szCs w:val="20"/>
          <w:lang w:val="fr-FR"/>
        </w:rPr>
        <w:t>t</w:t>
      </w:r>
      <w:r w:rsidRPr="00CB0FDF">
        <w:rPr>
          <w:rFonts w:ascii="Verdana" w:hAnsi="Verdana"/>
          <w:sz w:val="20"/>
          <w:szCs w:val="20"/>
          <w:lang w:val="fr-FR"/>
        </w:rPr>
        <w:t>teinte de leur bien-être et de leur santé.</w:t>
      </w:r>
    </w:p>
    <w:p w14:paraId="24CE3689" w14:textId="77777777" w:rsidR="00CB0FDF" w:rsidRPr="00CB0FDF" w:rsidRDefault="00CB0FDF" w:rsidP="00C03246">
      <w:pPr>
        <w:pStyle w:val="Sansinterligne"/>
        <w:spacing w:line="20" w:lineRule="atLeast"/>
        <w:jc w:val="both"/>
        <w:rPr>
          <w:rFonts w:ascii="Verdana" w:hAnsi="Verdana"/>
          <w:sz w:val="20"/>
          <w:szCs w:val="20"/>
          <w:lang w:val="fr-FR"/>
        </w:rPr>
      </w:pPr>
    </w:p>
    <w:p w14:paraId="160EF426" w14:textId="342BD2F1" w:rsidR="00CB0FDF" w:rsidRDefault="00CB0FDF" w:rsidP="00C03246">
      <w:pPr>
        <w:pStyle w:val="Sansinterligne"/>
        <w:spacing w:line="20" w:lineRule="atLeast"/>
        <w:jc w:val="both"/>
        <w:rPr>
          <w:rFonts w:ascii="Verdana" w:hAnsi="Verdana"/>
          <w:sz w:val="20"/>
          <w:szCs w:val="20"/>
          <w:lang w:val="fr-FR"/>
        </w:rPr>
      </w:pPr>
      <w:r w:rsidRPr="00CB0FDF">
        <w:rPr>
          <w:rFonts w:ascii="Verdana" w:hAnsi="Verdana"/>
          <w:sz w:val="20"/>
          <w:szCs w:val="20"/>
          <w:lang w:val="fr-FR"/>
        </w:rPr>
        <w:t>Les premiers demandeurs sont électrohypersensibles (EHS). Les personnes atteintes d'EHS sont hypersensibles aux rayonnements ou aux champs électromagnétiques. Selon le dépliant "Téléphone portable et santé" du Service public fédéral santé publique, il s'agit d'un "ensemble de troubles physiques que les personnes attribuent spontanément à l'exposition à des champs électromagnétiques". Les plaintes sont les suivantes : troubles du sommeil, maux de tête, irritabilité, stress, nervosité, fatigue, manque d'éne</w:t>
      </w:r>
      <w:r w:rsidRPr="00CB0FDF">
        <w:rPr>
          <w:rFonts w:ascii="Verdana" w:hAnsi="Verdana"/>
          <w:sz w:val="20"/>
          <w:szCs w:val="20"/>
          <w:lang w:val="fr-FR"/>
        </w:rPr>
        <w:t>r</w:t>
      </w:r>
      <w:r w:rsidRPr="00CB0FDF">
        <w:rPr>
          <w:rFonts w:ascii="Verdana" w:hAnsi="Verdana"/>
          <w:sz w:val="20"/>
          <w:szCs w:val="20"/>
          <w:lang w:val="fr-FR"/>
        </w:rPr>
        <w:t xml:space="preserve">gie, problèmes de concentration et de mémoire (jusqu'à la perte totale de toutes les fonctions), vertiges, palpitations, etc. Chaque patient présente plusieurs symptômes, bien que ceux-ci diffèrent d'une personne à l'autre. Les symptômes apparaissent à des niveaux bien inférieurs aux normes d'exposition actuelles. </w:t>
      </w:r>
    </w:p>
    <w:p w14:paraId="104848BC" w14:textId="77777777" w:rsidR="008857B2" w:rsidRPr="00CB0FDF" w:rsidRDefault="008857B2" w:rsidP="00C03246">
      <w:pPr>
        <w:pStyle w:val="Sansinterligne"/>
        <w:spacing w:line="20" w:lineRule="atLeast"/>
        <w:jc w:val="both"/>
        <w:rPr>
          <w:rFonts w:ascii="Verdana" w:hAnsi="Verdana"/>
          <w:sz w:val="20"/>
          <w:szCs w:val="20"/>
          <w:lang w:val="fr-FR"/>
        </w:rPr>
      </w:pPr>
    </w:p>
    <w:p w14:paraId="56B90921" w14:textId="39672C14" w:rsidR="00CB0FDF" w:rsidRDefault="00CB0FDF" w:rsidP="00C03246">
      <w:pPr>
        <w:pStyle w:val="Sansinterligne"/>
        <w:spacing w:line="20" w:lineRule="atLeast"/>
        <w:jc w:val="both"/>
        <w:rPr>
          <w:rFonts w:ascii="Verdana" w:hAnsi="Verdana"/>
          <w:sz w:val="20"/>
          <w:szCs w:val="20"/>
          <w:lang w:val="fr-FR"/>
        </w:rPr>
      </w:pPr>
      <w:r w:rsidRPr="00CB0FDF">
        <w:rPr>
          <w:rFonts w:ascii="Verdana" w:hAnsi="Verdana"/>
          <w:sz w:val="20"/>
          <w:szCs w:val="20"/>
          <w:lang w:val="fr-FR"/>
        </w:rPr>
        <w:t>Plus les technologies sans fil sont introduites, plus l'électrohypersensibilité est mise en avant. Selon des estimations prudentes 1,5 à 3 %, soit 172 000 à 344 000 personnes de la population belge est plus ou moins électrohypersensible.</w:t>
      </w:r>
    </w:p>
    <w:p w14:paraId="4612DCBF" w14:textId="77777777" w:rsidR="00CB0FDF" w:rsidRPr="00CB0FDF" w:rsidRDefault="00CB0FDF" w:rsidP="00C03246">
      <w:pPr>
        <w:pStyle w:val="Sansinterligne"/>
        <w:spacing w:line="20" w:lineRule="atLeast"/>
        <w:jc w:val="both"/>
        <w:rPr>
          <w:rFonts w:ascii="Verdana" w:hAnsi="Verdana"/>
          <w:sz w:val="20"/>
          <w:szCs w:val="20"/>
          <w:lang w:val="fr-FR"/>
        </w:rPr>
      </w:pPr>
    </w:p>
    <w:p w14:paraId="13A02117" w14:textId="5CAB714A" w:rsidR="00CB0FDF" w:rsidRDefault="00CB0FDF" w:rsidP="00C03246">
      <w:pPr>
        <w:pStyle w:val="Sansinterligne"/>
        <w:spacing w:line="20" w:lineRule="atLeast"/>
        <w:jc w:val="both"/>
        <w:rPr>
          <w:rFonts w:ascii="Verdana" w:hAnsi="Verdana"/>
          <w:sz w:val="20"/>
          <w:szCs w:val="20"/>
          <w:lang w:val="fr-FR"/>
        </w:rPr>
      </w:pPr>
      <w:r w:rsidRPr="00CB0FDF">
        <w:rPr>
          <w:rFonts w:ascii="Verdana" w:hAnsi="Verdana"/>
          <w:sz w:val="20"/>
          <w:szCs w:val="20"/>
          <w:lang w:val="fr-FR"/>
        </w:rPr>
        <w:t>Il ne s'agit toutefois pas d'un phénomène nouveau. Il est connu depuis les années ‘50, principalement parmi le personnel militaire qui travaillait sur les radars. On l'appelait le "syndrome des micro-ondes". Entre-temps, la question a fait du chemin, comme le décrit la " Proposition de résolution relative à la reconnaissance de l'électrohypersensibilité ", soumise au Sénat le 8 octobre 2019. (Sénat, 2019-2020, 7-88/1, Proposition de résol</w:t>
      </w:r>
      <w:r w:rsidRPr="00CB0FDF">
        <w:rPr>
          <w:rFonts w:ascii="Verdana" w:hAnsi="Verdana"/>
          <w:sz w:val="20"/>
          <w:szCs w:val="20"/>
          <w:lang w:val="fr-FR"/>
        </w:rPr>
        <w:t>u</w:t>
      </w:r>
      <w:r w:rsidRPr="00CB0FDF">
        <w:rPr>
          <w:rFonts w:ascii="Verdana" w:hAnsi="Verdana"/>
          <w:sz w:val="20"/>
          <w:szCs w:val="20"/>
          <w:lang w:val="fr-FR"/>
        </w:rPr>
        <w:t>tion du 8 octobre 2019 relative à la reconnaissance de l'électrohypersensibilité).</w:t>
      </w:r>
    </w:p>
    <w:p w14:paraId="3825FEEC" w14:textId="77777777" w:rsidR="00CB0FDF" w:rsidRPr="00CB0FDF" w:rsidRDefault="00CB0FDF" w:rsidP="00C03246">
      <w:pPr>
        <w:pStyle w:val="Sansinterligne"/>
        <w:spacing w:line="20" w:lineRule="atLeast"/>
        <w:jc w:val="both"/>
        <w:rPr>
          <w:rFonts w:ascii="Verdana" w:hAnsi="Verdana"/>
          <w:sz w:val="20"/>
          <w:szCs w:val="20"/>
          <w:lang w:val="fr-FR"/>
        </w:rPr>
      </w:pPr>
    </w:p>
    <w:p w14:paraId="01222AA1" w14:textId="19DF3AD0" w:rsidR="00CB0FDF" w:rsidRPr="00CB0FDF" w:rsidRDefault="00CB0FDF" w:rsidP="00C03246">
      <w:pPr>
        <w:pStyle w:val="Sansinterligne"/>
        <w:spacing w:line="20" w:lineRule="atLeast"/>
        <w:jc w:val="both"/>
        <w:rPr>
          <w:rFonts w:ascii="Verdana" w:hAnsi="Verdana"/>
          <w:sz w:val="20"/>
          <w:szCs w:val="20"/>
          <w:lang w:val="fr-FR"/>
        </w:rPr>
      </w:pPr>
      <w:r w:rsidRPr="00CB0FDF">
        <w:rPr>
          <w:rFonts w:ascii="Verdana" w:hAnsi="Verdana"/>
          <w:sz w:val="20"/>
          <w:szCs w:val="20"/>
          <w:lang w:val="fr-FR"/>
        </w:rPr>
        <w:t xml:space="preserve">Le 6 mars 2020, une première audition a eu lieu au Sénat dans le cadre de l’examen de cette proposition de reconnaissance de l’EHS. D'autres auditions ont été reportées en raison des mesures corona. Les auditions ultérieures ont été organisées en ligne entre le 9 novembre 2020 et le 8 mars 2021. </w:t>
      </w:r>
      <w:r w:rsidR="008857B2">
        <w:rPr>
          <w:rFonts w:ascii="Verdana" w:hAnsi="Verdana"/>
          <w:sz w:val="20"/>
          <w:szCs w:val="20"/>
          <w:lang w:val="fr-FR"/>
        </w:rPr>
        <w:t xml:space="preserve">Le 27 novembre </w:t>
      </w:r>
      <w:r w:rsidR="00DE11E3">
        <w:rPr>
          <w:rFonts w:ascii="Verdana" w:hAnsi="Verdana"/>
          <w:sz w:val="20"/>
          <w:szCs w:val="20"/>
          <w:lang w:val="fr-FR"/>
        </w:rPr>
        <w:t>2</w:t>
      </w:r>
      <w:r w:rsidR="008857B2">
        <w:rPr>
          <w:rFonts w:ascii="Verdana" w:hAnsi="Verdana"/>
          <w:sz w:val="20"/>
          <w:szCs w:val="20"/>
          <w:lang w:val="fr-FR"/>
        </w:rPr>
        <w:t>020, c’</w:t>
      </w:r>
      <w:r w:rsidR="00281FD3">
        <w:rPr>
          <w:rFonts w:ascii="Verdana" w:hAnsi="Verdana"/>
          <w:sz w:val="20"/>
          <w:szCs w:val="20"/>
          <w:lang w:val="fr-FR"/>
        </w:rPr>
        <w:t>es</w:t>
      </w:r>
      <w:r w:rsidRPr="00CB0FDF">
        <w:rPr>
          <w:rFonts w:ascii="Verdana" w:hAnsi="Verdana"/>
          <w:sz w:val="20"/>
          <w:szCs w:val="20"/>
          <w:lang w:val="fr-FR"/>
        </w:rPr>
        <w:t>t le professeur français Dominique Belpomme, spécialiste de la relation entre les rayonnements électromagn</w:t>
      </w:r>
      <w:r w:rsidRPr="00CB0FDF">
        <w:rPr>
          <w:rFonts w:ascii="Verdana" w:hAnsi="Verdana"/>
          <w:sz w:val="20"/>
          <w:szCs w:val="20"/>
          <w:lang w:val="fr-FR"/>
        </w:rPr>
        <w:t>é</w:t>
      </w:r>
      <w:r w:rsidRPr="00CB0FDF">
        <w:rPr>
          <w:rFonts w:ascii="Verdana" w:hAnsi="Verdana"/>
          <w:sz w:val="20"/>
          <w:szCs w:val="20"/>
          <w:lang w:val="fr-FR"/>
        </w:rPr>
        <w:t>tiques et le cancer</w:t>
      </w:r>
      <w:r w:rsidR="008857B2">
        <w:rPr>
          <w:rFonts w:ascii="Verdana" w:hAnsi="Verdana"/>
          <w:sz w:val="20"/>
          <w:szCs w:val="20"/>
          <w:lang w:val="fr-FR"/>
        </w:rPr>
        <w:t>, qui a été auditionné</w:t>
      </w:r>
      <w:r w:rsidRPr="00CB0FDF">
        <w:rPr>
          <w:rFonts w:ascii="Verdana" w:hAnsi="Verdana"/>
          <w:sz w:val="20"/>
          <w:szCs w:val="20"/>
          <w:lang w:val="fr-FR"/>
        </w:rPr>
        <w:t>.</w:t>
      </w:r>
    </w:p>
    <w:p w14:paraId="040F5FC0" w14:textId="24B171D0" w:rsidR="004C24E4" w:rsidRDefault="00CB0FDF" w:rsidP="00C03246">
      <w:pPr>
        <w:pStyle w:val="Sansinterligne"/>
        <w:spacing w:line="20" w:lineRule="atLeast"/>
        <w:jc w:val="both"/>
        <w:rPr>
          <w:rFonts w:ascii="Verdana" w:hAnsi="Verdana"/>
          <w:sz w:val="20"/>
          <w:szCs w:val="20"/>
          <w:lang w:val="fr-FR"/>
        </w:rPr>
      </w:pPr>
      <w:r w:rsidRPr="00CB0FDF">
        <w:rPr>
          <w:rFonts w:ascii="Verdana" w:hAnsi="Verdana"/>
          <w:sz w:val="20"/>
          <w:szCs w:val="20"/>
          <w:lang w:val="fr-FR"/>
        </w:rPr>
        <w:t>Le 8 mars 2021, le professeur Olle Johansson a été entendu. Ce professeur est une aut</w:t>
      </w:r>
      <w:r w:rsidRPr="00CB0FDF">
        <w:rPr>
          <w:rFonts w:ascii="Verdana" w:hAnsi="Verdana"/>
          <w:sz w:val="20"/>
          <w:szCs w:val="20"/>
          <w:lang w:val="fr-FR"/>
        </w:rPr>
        <w:t>o</w:t>
      </w:r>
      <w:r w:rsidRPr="00CB0FDF">
        <w:rPr>
          <w:rFonts w:ascii="Verdana" w:hAnsi="Verdana"/>
          <w:sz w:val="20"/>
          <w:szCs w:val="20"/>
          <w:lang w:val="fr-FR"/>
        </w:rPr>
        <w:t>rité mondiale concernant les effets des CEM sur la santé. Selon lui, l'EHS est une maladie fonctionnelle causée par une toxicité environnementale excessive due aux rayonnements électromagnétiques. Les effets néfastes sur la santé à des niveaux d'exposition non thermiques sont confirmés par plusieurs milliers d'études.</w:t>
      </w:r>
    </w:p>
    <w:p w14:paraId="4667F661" w14:textId="77777777" w:rsidR="00CB0FDF" w:rsidRPr="00B37420" w:rsidRDefault="00CB0FDF" w:rsidP="00C03246">
      <w:pPr>
        <w:pStyle w:val="Sansinterligne"/>
        <w:spacing w:line="20" w:lineRule="atLeast"/>
        <w:jc w:val="both"/>
        <w:rPr>
          <w:rFonts w:ascii="Verdana" w:hAnsi="Verdana"/>
          <w:sz w:val="20"/>
          <w:szCs w:val="20"/>
          <w:lang w:val="fr-FR"/>
        </w:rPr>
      </w:pPr>
    </w:p>
    <w:p w14:paraId="508A316F" w14:textId="47360873" w:rsidR="004C24E4"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8</w:t>
      </w:r>
      <w:r w:rsidR="004C24E4" w:rsidRPr="00B37420">
        <w:rPr>
          <w:rFonts w:ascii="Verdana" w:hAnsi="Verdana"/>
          <w:sz w:val="20"/>
          <w:szCs w:val="20"/>
          <w:lang w:val="fr-FR"/>
        </w:rPr>
        <w:t>.</w:t>
      </w:r>
    </w:p>
    <w:p w14:paraId="4B4AD77A" w14:textId="77777777" w:rsidR="00EB1E33" w:rsidRPr="00EB1E33"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 xml:space="preserve">Outre le problème de l'électrohypersensibilité, il existe également des risques généraux pour la santé liés aux rayonnements. </w:t>
      </w:r>
    </w:p>
    <w:p w14:paraId="11395357" w14:textId="77777777" w:rsidR="00EB1E33" w:rsidRPr="00EB1E33" w:rsidRDefault="00EB1E33" w:rsidP="00C03246">
      <w:pPr>
        <w:pStyle w:val="Sansinterligne"/>
        <w:spacing w:line="20" w:lineRule="atLeast"/>
        <w:jc w:val="both"/>
        <w:rPr>
          <w:rFonts w:ascii="Verdana" w:hAnsi="Verdana"/>
          <w:sz w:val="20"/>
          <w:szCs w:val="20"/>
          <w:lang w:val="fr-FR"/>
        </w:rPr>
      </w:pPr>
    </w:p>
    <w:p w14:paraId="5F3EF949" w14:textId="625215A4" w:rsidR="00EB1E33"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Les risques sanitaires des rayonnements électromagnétiques ont été suffisamment et régulièrement démontrés. Les rayonnements de radiofréquence sont en effet classés dans la catégorie des agents cancérigènes possibles pour l'être humain (groupe 2B).</w:t>
      </w:r>
    </w:p>
    <w:p w14:paraId="02153024" w14:textId="77777777" w:rsidR="00EB1E33" w:rsidRPr="00EB1E33" w:rsidRDefault="00EB1E33" w:rsidP="00C03246">
      <w:pPr>
        <w:pStyle w:val="Sansinterligne"/>
        <w:spacing w:line="20" w:lineRule="atLeast"/>
        <w:jc w:val="both"/>
        <w:rPr>
          <w:rFonts w:ascii="Verdana" w:hAnsi="Verdana"/>
          <w:sz w:val="20"/>
          <w:szCs w:val="20"/>
          <w:lang w:val="fr-FR"/>
        </w:rPr>
      </w:pPr>
    </w:p>
    <w:p w14:paraId="0DEE46B4" w14:textId="77777777" w:rsidR="00EB1E33" w:rsidRPr="00EB1E33"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 xml:space="preserve">Le Centre international de recherche sur le cancer (CIRC) fait partie de l'Organisation mondiale de la santé (OMS). Le CIRC établit une classification de la cancérogénicité sur la </w:t>
      </w:r>
      <w:r w:rsidRPr="00EB1E33">
        <w:rPr>
          <w:rFonts w:ascii="Verdana" w:hAnsi="Verdana"/>
          <w:sz w:val="20"/>
          <w:szCs w:val="20"/>
          <w:lang w:val="fr-FR"/>
        </w:rPr>
        <w:lastRenderedPageBreak/>
        <w:t>base de toutes les informations scientifiquement étayées disponibles. Le CIRC utilise cinq catégories de cancérogénicité :</w:t>
      </w:r>
    </w:p>
    <w:p w14:paraId="091B316C" w14:textId="77777777" w:rsidR="00EB1E33" w:rsidRPr="00EB1E33" w:rsidRDefault="00EB1E33" w:rsidP="00281FD3">
      <w:pPr>
        <w:pStyle w:val="Sansinterligne"/>
        <w:spacing w:line="20" w:lineRule="atLeast"/>
        <w:ind w:left="708"/>
        <w:jc w:val="both"/>
        <w:rPr>
          <w:rFonts w:ascii="Verdana" w:hAnsi="Verdana"/>
          <w:sz w:val="20"/>
          <w:szCs w:val="20"/>
          <w:lang w:val="fr-FR"/>
        </w:rPr>
      </w:pPr>
      <w:r w:rsidRPr="00EB1E33">
        <w:rPr>
          <w:rFonts w:ascii="Verdana" w:hAnsi="Verdana"/>
          <w:sz w:val="20"/>
          <w:szCs w:val="20"/>
          <w:lang w:val="fr-FR"/>
        </w:rPr>
        <w:t>Groupe 1 : agent cancérogène (parfois appelé cancérogène avéré ou cancérogène certain),</w:t>
      </w:r>
    </w:p>
    <w:p w14:paraId="7343C164" w14:textId="77777777" w:rsidR="00EB1E33" w:rsidRPr="00EB1E33" w:rsidRDefault="00EB1E33" w:rsidP="00281FD3">
      <w:pPr>
        <w:pStyle w:val="Sansinterligne"/>
        <w:spacing w:line="20" w:lineRule="atLeast"/>
        <w:ind w:left="708"/>
        <w:jc w:val="both"/>
        <w:rPr>
          <w:rFonts w:ascii="Verdana" w:hAnsi="Verdana"/>
          <w:sz w:val="20"/>
          <w:szCs w:val="20"/>
          <w:lang w:val="fr-FR"/>
        </w:rPr>
      </w:pPr>
      <w:r w:rsidRPr="00EB1E33">
        <w:rPr>
          <w:rFonts w:ascii="Verdana" w:hAnsi="Verdana"/>
          <w:sz w:val="20"/>
          <w:szCs w:val="20"/>
          <w:lang w:val="fr-FR"/>
        </w:rPr>
        <w:t>Groupe 2A : agent probablement cancérogène,</w:t>
      </w:r>
    </w:p>
    <w:p w14:paraId="095F0C46" w14:textId="77777777" w:rsidR="00EB1E33" w:rsidRPr="00EB1E33" w:rsidRDefault="00EB1E33" w:rsidP="00281FD3">
      <w:pPr>
        <w:pStyle w:val="Sansinterligne"/>
        <w:spacing w:line="20" w:lineRule="atLeast"/>
        <w:ind w:left="708"/>
        <w:jc w:val="both"/>
        <w:rPr>
          <w:rFonts w:ascii="Verdana" w:hAnsi="Verdana"/>
          <w:sz w:val="20"/>
          <w:szCs w:val="20"/>
          <w:lang w:val="fr-FR"/>
        </w:rPr>
      </w:pPr>
      <w:r w:rsidRPr="00EB1E33">
        <w:rPr>
          <w:rFonts w:ascii="Verdana" w:hAnsi="Verdana"/>
          <w:sz w:val="20"/>
          <w:szCs w:val="20"/>
          <w:lang w:val="fr-FR"/>
        </w:rPr>
        <w:t>Groupe 2B : agent peut-être cancérogène (parfois appelé cancérogène possible),</w:t>
      </w:r>
    </w:p>
    <w:p w14:paraId="1E667F1F" w14:textId="77777777" w:rsidR="00EB1E33" w:rsidRPr="00EB1E33" w:rsidRDefault="00EB1E33" w:rsidP="00281FD3">
      <w:pPr>
        <w:pStyle w:val="Sansinterligne"/>
        <w:spacing w:line="20" w:lineRule="atLeast"/>
        <w:ind w:left="708"/>
        <w:jc w:val="both"/>
        <w:rPr>
          <w:rFonts w:ascii="Verdana" w:hAnsi="Verdana"/>
          <w:sz w:val="20"/>
          <w:szCs w:val="20"/>
          <w:lang w:val="fr-FR"/>
        </w:rPr>
      </w:pPr>
      <w:r w:rsidRPr="00EB1E33">
        <w:rPr>
          <w:rFonts w:ascii="Verdana" w:hAnsi="Verdana"/>
          <w:sz w:val="20"/>
          <w:szCs w:val="20"/>
          <w:lang w:val="fr-FR"/>
        </w:rPr>
        <w:t>Groupe 3 : agent inclassable quant à sa cancérogénicité,</w:t>
      </w:r>
    </w:p>
    <w:p w14:paraId="5D2789BF" w14:textId="77777777" w:rsidR="00EB1E33" w:rsidRPr="00EB1E33" w:rsidRDefault="00EB1E33" w:rsidP="00281FD3">
      <w:pPr>
        <w:pStyle w:val="Sansinterligne"/>
        <w:spacing w:line="20" w:lineRule="atLeast"/>
        <w:ind w:left="708"/>
        <w:jc w:val="both"/>
        <w:rPr>
          <w:rFonts w:ascii="Verdana" w:hAnsi="Verdana"/>
          <w:sz w:val="20"/>
          <w:szCs w:val="20"/>
          <w:lang w:val="fr-FR"/>
        </w:rPr>
      </w:pPr>
      <w:r w:rsidRPr="00EB1E33">
        <w:rPr>
          <w:rFonts w:ascii="Verdana" w:hAnsi="Verdana"/>
          <w:sz w:val="20"/>
          <w:szCs w:val="20"/>
          <w:lang w:val="fr-FR"/>
        </w:rPr>
        <w:t>Groupe 4 : agent probablement pas cancérogène.</w:t>
      </w:r>
    </w:p>
    <w:p w14:paraId="50DC5B26" w14:textId="77777777" w:rsidR="00EB1E33" w:rsidRPr="00EB1E33" w:rsidRDefault="00EB1E33" w:rsidP="00C03246">
      <w:pPr>
        <w:pStyle w:val="Sansinterligne"/>
        <w:spacing w:line="20" w:lineRule="atLeast"/>
        <w:jc w:val="both"/>
        <w:rPr>
          <w:rFonts w:ascii="Verdana" w:hAnsi="Verdana"/>
          <w:sz w:val="20"/>
          <w:szCs w:val="20"/>
          <w:lang w:val="fr-FR"/>
        </w:rPr>
      </w:pPr>
    </w:p>
    <w:p w14:paraId="30A196D3" w14:textId="01E4765A" w:rsidR="00EB1E33"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Il est clair que les rayonnements électromagnétiques de haute fréquence ne sont pas classés dans le groupe 3 (données insuffisantes) ou le groupe 4 (probablement non ca</w:t>
      </w:r>
      <w:r w:rsidRPr="00EB1E33">
        <w:rPr>
          <w:rFonts w:ascii="Verdana" w:hAnsi="Verdana"/>
          <w:sz w:val="20"/>
          <w:szCs w:val="20"/>
          <w:lang w:val="fr-FR"/>
        </w:rPr>
        <w:t>n</w:t>
      </w:r>
      <w:r w:rsidRPr="00EB1E33">
        <w:rPr>
          <w:rFonts w:ascii="Verdana" w:hAnsi="Verdana"/>
          <w:sz w:val="20"/>
          <w:szCs w:val="20"/>
          <w:lang w:val="fr-FR"/>
        </w:rPr>
        <w:t>cérigène).</w:t>
      </w:r>
    </w:p>
    <w:p w14:paraId="349D00B0" w14:textId="77777777" w:rsidR="00EB1E33" w:rsidRPr="00EB1E33" w:rsidRDefault="00EB1E33" w:rsidP="00C03246">
      <w:pPr>
        <w:pStyle w:val="Sansinterligne"/>
        <w:spacing w:line="20" w:lineRule="atLeast"/>
        <w:jc w:val="both"/>
        <w:rPr>
          <w:rFonts w:ascii="Verdana" w:hAnsi="Verdana"/>
          <w:sz w:val="20"/>
          <w:szCs w:val="20"/>
          <w:lang w:val="fr-FR"/>
        </w:rPr>
      </w:pPr>
    </w:p>
    <w:p w14:paraId="4223E436" w14:textId="06302DF0" w:rsidR="00EB1E33"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Le 11 mai 2015, un groupe de 198 scientifiques (aujourd'hui 258) a adressé un appel international aux Nations Unies, à ses états membres et à l'Organisation mondiale de la santé OMS (https://www.emfscientist.org). Ils préviennent que les rayonnements éle</w:t>
      </w:r>
      <w:r w:rsidRPr="00EB1E33">
        <w:rPr>
          <w:rFonts w:ascii="Verdana" w:hAnsi="Verdana"/>
          <w:sz w:val="20"/>
          <w:szCs w:val="20"/>
          <w:lang w:val="fr-FR"/>
        </w:rPr>
        <w:t>c</w:t>
      </w:r>
      <w:r w:rsidRPr="00EB1E33">
        <w:rPr>
          <w:rFonts w:ascii="Verdana" w:hAnsi="Verdana"/>
          <w:sz w:val="20"/>
          <w:szCs w:val="20"/>
          <w:lang w:val="fr-FR"/>
        </w:rPr>
        <w:t>tromagnétiques affectent l'ADN et représentent un risque énorme pour notre santé f</w:t>
      </w:r>
      <w:r w:rsidRPr="00EB1E33">
        <w:rPr>
          <w:rFonts w:ascii="Verdana" w:hAnsi="Verdana"/>
          <w:sz w:val="20"/>
          <w:szCs w:val="20"/>
          <w:lang w:val="fr-FR"/>
        </w:rPr>
        <w:t>u</w:t>
      </w:r>
      <w:r w:rsidRPr="00EB1E33">
        <w:rPr>
          <w:rFonts w:ascii="Verdana" w:hAnsi="Verdana"/>
          <w:sz w:val="20"/>
          <w:szCs w:val="20"/>
          <w:lang w:val="fr-FR"/>
        </w:rPr>
        <w:t>ture. Ils ont ainsi observé un triplement des tumeurs cérébrales chez les enfants. Ils a</w:t>
      </w:r>
      <w:r w:rsidRPr="00EB1E33">
        <w:rPr>
          <w:rFonts w:ascii="Verdana" w:hAnsi="Verdana"/>
          <w:sz w:val="20"/>
          <w:szCs w:val="20"/>
          <w:lang w:val="fr-FR"/>
        </w:rPr>
        <w:t>f</w:t>
      </w:r>
      <w:r w:rsidRPr="00EB1E33">
        <w:rPr>
          <w:rFonts w:ascii="Verdana" w:hAnsi="Verdana"/>
          <w:sz w:val="20"/>
          <w:szCs w:val="20"/>
          <w:lang w:val="fr-FR"/>
        </w:rPr>
        <w:t>firment que les normes actuelles sont beaucoup trop laxistes et que le moment d’agir est passé depuis longtemps.</w:t>
      </w:r>
    </w:p>
    <w:p w14:paraId="015EFF65" w14:textId="77777777" w:rsidR="00EB1E33" w:rsidRPr="00EB1E33" w:rsidRDefault="00EB1E33" w:rsidP="00C03246">
      <w:pPr>
        <w:pStyle w:val="Sansinterligne"/>
        <w:spacing w:line="20" w:lineRule="atLeast"/>
        <w:jc w:val="both"/>
        <w:rPr>
          <w:rFonts w:ascii="Verdana" w:hAnsi="Verdana"/>
          <w:sz w:val="20"/>
          <w:szCs w:val="20"/>
          <w:lang w:val="fr-FR"/>
        </w:rPr>
      </w:pPr>
    </w:p>
    <w:p w14:paraId="75F6B0FF" w14:textId="77777777" w:rsidR="00EB1E33" w:rsidRPr="00EB1E33"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Bien que cela ne soit pas ouvertement communiqué au public, les requérants constatent que la communication officielle des autorités devient également plus prudente, comme sur le site web du gouvernement flamand :</w:t>
      </w:r>
    </w:p>
    <w:p w14:paraId="13F12E7C" w14:textId="77777777" w:rsidR="00EB1E33" w:rsidRPr="00EB1E33" w:rsidRDefault="00EB1E33" w:rsidP="00281FD3">
      <w:pPr>
        <w:pStyle w:val="Sansinterligne"/>
        <w:spacing w:line="20" w:lineRule="atLeast"/>
        <w:ind w:left="708"/>
        <w:jc w:val="both"/>
        <w:rPr>
          <w:rFonts w:ascii="Verdana" w:hAnsi="Verdana"/>
          <w:i/>
          <w:iCs/>
          <w:sz w:val="20"/>
          <w:szCs w:val="20"/>
          <w:lang w:val="fr-FR"/>
        </w:rPr>
      </w:pPr>
      <w:r w:rsidRPr="00EB1E33">
        <w:rPr>
          <w:rFonts w:ascii="Verdana" w:hAnsi="Verdana"/>
          <w:i/>
          <w:iCs/>
          <w:sz w:val="20"/>
          <w:szCs w:val="20"/>
          <w:lang w:val="fr-FR"/>
        </w:rPr>
        <w:t>"Des normes d'exposition aux radiations ont été fixées. À l'heure actuelle, rien ne prouve que les rayonnements électromagnétiques soient dangereux pour la santé tant que ces normes ne sont pas dépassées.</w:t>
      </w:r>
    </w:p>
    <w:p w14:paraId="26910AAA" w14:textId="1C7EEB5F" w:rsidR="00EB1E33" w:rsidRPr="00EB1E33" w:rsidRDefault="00EB1E33" w:rsidP="00281FD3">
      <w:pPr>
        <w:pStyle w:val="Sansinterligne"/>
        <w:spacing w:line="20" w:lineRule="atLeast"/>
        <w:ind w:left="708"/>
        <w:jc w:val="both"/>
        <w:rPr>
          <w:rFonts w:ascii="Verdana" w:hAnsi="Verdana"/>
          <w:i/>
          <w:iCs/>
          <w:sz w:val="20"/>
          <w:szCs w:val="20"/>
          <w:lang w:val="fr-FR"/>
        </w:rPr>
      </w:pPr>
      <w:r w:rsidRPr="00EB1E33">
        <w:rPr>
          <w:rFonts w:ascii="Verdana" w:hAnsi="Verdana"/>
          <w:i/>
          <w:iCs/>
          <w:sz w:val="20"/>
          <w:szCs w:val="20"/>
          <w:lang w:val="fr-FR"/>
        </w:rPr>
        <w:t xml:space="preserve">Des recherches sur les rayonnements sont en cours, mais les conclusions ne sont pas </w:t>
      </w:r>
      <w:r w:rsidR="00281FD3">
        <w:rPr>
          <w:rFonts w:ascii="Verdana" w:hAnsi="Verdana"/>
          <w:i/>
          <w:iCs/>
          <w:sz w:val="20"/>
          <w:szCs w:val="20"/>
          <w:lang w:val="fr-FR"/>
        </w:rPr>
        <w:t>claires</w:t>
      </w:r>
      <w:r w:rsidRPr="00EB1E33">
        <w:rPr>
          <w:rFonts w:ascii="Verdana" w:hAnsi="Verdana"/>
          <w:i/>
          <w:iCs/>
          <w:sz w:val="20"/>
          <w:szCs w:val="20"/>
          <w:lang w:val="fr-FR"/>
        </w:rPr>
        <w:t>. Les études sont souvent menées sur des adultes et à court terme, de sorte que les effets à long terme sur les enfants ne sont pas connus. Nous savons que les enfants font partie du groupe à risque le plus élevé, car leur cerveau est encore en développement."</w:t>
      </w:r>
    </w:p>
    <w:p w14:paraId="2552D767" w14:textId="77777777" w:rsidR="00EB1E33" w:rsidRPr="00EB1E33" w:rsidRDefault="00EB1E33" w:rsidP="00C03246">
      <w:pPr>
        <w:pStyle w:val="Sansinterligne"/>
        <w:spacing w:line="20" w:lineRule="atLeast"/>
        <w:jc w:val="both"/>
        <w:rPr>
          <w:rFonts w:ascii="Verdana" w:hAnsi="Verdana"/>
          <w:sz w:val="20"/>
          <w:szCs w:val="20"/>
          <w:lang w:val="fr-FR"/>
        </w:rPr>
      </w:pPr>
    </w:p>
    <w:p w14:paraId="761E545F" w14:textId="77777777" w:rsidR="00EB1E33" w:rsidRPr="00EB1E33"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Cela montre que seules les études à court terme chez les adultes sont prises en compte et que les études sur l'exposition chronique chez les enfants et/ou les groupes plus se</w:t>
      </w:r>
      <w:r w:rsidRPr="00EB1E33">
        <w:rPr>
          <w:rFonts w:ascii="Verdana" w:hAnsi="Verdana"/>
          <w:sz w:val="20"/>
          <w:szCs w:val="20"/>
          <w:lang w:val="fr-FR"/>
        </w:rPr>
        <w:t>n</w:t>
      </w:r>
      <w:r w:rsidRPr="00EB1E33">
        <w:rPr>
          <w:rFonts w:ascii="Verdana" w:hAnsi="Verdana"/>
          <w:sz w:val="20"/>
          <w:szCs w:val="20"/>
          <w:lang w:val="fr-FR"/>
        </w:rPr>
        <w:t>sibles (personnes âgées, malades chroniques, personnes électro-hypersensibles) sont ignorées.</w:t>
      </w:r>
    </w:p>
    <w:p w14:paraId="0497A512" w14:textId="77777777" w:rsidR="00EB1E33" w:rsidRPr="00EB1E33" w:rsidRDefault="00EB1E33" w:rsidP="00C03246">
      <w:pPr>
        <w:pStyle w:val="Sansinterligne"/>
        <w:spacing w:line="20" w:lineRule="atLeast"/>
        <w:jc w:val="both"/>
        <w:rPr>
          <w:rFonts w:ascii="Verdana" w:hAnsi="Verdana"/>
          <w:sz w:val="20"/>
          <w:szCs w:val="20"/>
          <w:lang w:val="fr-FR"/>
        </w:rPr>
      </w:pPr>
    </w:p>
    <w:p w14:paraId="0E9490ED" w14:textId="48A44E06" w:rsidR="00297BE5" w:rsidRPr="00B37420" w:rsidRDefault="00EB1E33" w:rsidP="00C03246">
      <w:pPr>
        <w:pStyle w:val="Sansinterligne"/>
        <w:spacing w:line="20" w:lineRule="atLeast"/>
        <w:jc w:val="both"/>
        <w:rPr>
          <w:rFonts w:ascii="Verdana" w:hAnsi="Verdana"/>
          <w:sz w:val="20"/>
          <w:szCs w:val="20"/>
          <w:lang w:val="fr-FR"/>
        </w:rPr>
      </w:pPr>
      <w:r w:rsidRPr="00EB1E33">
        <w:rPr>
          <w:rFonts w:ascii="Verdana" w:hAnsi="Verdana"/>
          <w:sz w:val="20"/>
          <w:szCs w:val="20"/>
          <w:lang w:val="fr-FR"/>
        </w:rPr>
        <w:t>Néanmoins, le gouvernement flamand ne tient pas compte dans sa communication de l'état de la science susmentionné.</w:t>
      </w:r>
    </w:p>
    <w:p w14:paraId="03EEAB69" w14:textId="77777777" w:rsidR="00297BE5" w:rsidRPr="00B37420" w:rsidRDefault="00297BE5" w:rsidP="00C03246">
      <w:pPr>
        <w:pStyle w:val="Sansinterligne"/>
        <w:spacing w:line="20" w:lineRule="atLeast"/>
        <w:jc w:val="both"/>
        <w:rPr>
          <w:rFonts w:ascii="Verdana" w:hAnsi="Verdana"/>
          <w:sz w:val="20"/>
          <w:szCs w:val="20"/>
          <w:lang w:val="fr-FR"/>
        </w:rPr>
      </w:pPr>
    </w:p>
    <w:p w14:paraId="44F31024" w14:textId="73EA20A5" w:rsidR="004C24E4"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9</w:t>
      </w:r>
      <w:r w:rsidR="004C24E4" w:rsidRPr="00B37420">
        <w:rPr>
          <w:rFonts w:ascii="Verdana" w:hAnsi="Verdana"/>
          <w:sz w:val="20"/>
          <w:szCs w:val="20"/>
          <w:lang w:val="fr-FR"/>
        </w:rPr>
        <w:t>.</w:t>
      </w:r>
    </w:p>
    <w:p w14:paraId="19A17051" w14:textId="77777777" w:rsidR="00EB1E33" w:rsidRPr="00EB1E33" w:rsidRDefault="00EB1E33" w:rsidP="00C03246">
      <w:pPr>
        <w:spacing w:after="0" w:line="20" w:lineRule="atLeast"/>
        <w:jc w:val="both"/>
        <w:rPr>
          <w:rFonts w:ascii="Verdana" w:hAnsi="Verdana"/>
          <w:sz w:val="20"/>
          <w:szCs w:val="20"/>
          <w:lang w:val="fr-FR"/>
        </w:rPr>
      </w:pPr>
      <w:r w:rsidRPr="00EB1E33">
        <w:rPr>
          <w:rFonts w:ascii="Verdana" w:hAnsi="Verdana"/>
          <w:sz w:val="20"/>
          <w:szCs w:val="20"/>
          <w:lang w:val="fr-FR"/>
        </w:rPr>
        <w:t>Les requérants estiment donc que les valeurs limites actuelles, tant individuellement que cumulativement, donnent lieu à une violation de leurs droits subjectifs, dont, par exemple :</w:t>
      </w:r>
    </w:p>
    <w:p w14:paraId="615E864D" w14:textId="77777777" w:rsidR="00EB1E33" w:rsidRPr="00281FD3" w:rsidRDefault="00EB1E33" w:rsidP="00281FD3">
      <w:pPr>
        <w:pStyle w:val="Paragraphedeliste"/>
        <w:numPr>
          <w:ilvl w:val="0"/>
          <w:numId w:val="9"/>
        </w:numPr>
        <w:spacing w:after="0" w:line="20" w:lineRule="atLeast"/>
        <w:jc w:val="both"/>
        <w:rPr>
          <w:rFonts w:ascii="Verdana" w:hAnsi="Verdana"/>
          <w:sz w:val="20"/>
          <w:szCs w:val="20"/>
          <w:lang w:val="fr-FR"/>
        </w:rPr>
      </w:pPr>
      <w:r w:rsidRPr="00281FD3">
        <w:rPr>
          <w:rFonts w:ascii="Verdana" w:hAnsi="Verdana"/>
          <w:sz w:val="20"/>
          <w:szCs w:val="20"/>
          <w:lang w:val="fr-FR"/>
        </w:rPr>
        <w:t>Constitution : Art. 23, alinéa 3, 2° : droit à la protection de la santé ; Art. 23, al</w:t>
      </w:r>
      <w:r w:rsidRPr="00281FD3">
        <w:rPr>
          <w:rFonts w:ascii="Verdana" w:hAnsi="Verdana"/>
          <w:sz w:val="20"/>
          <w:szCs w:val="20"/>
          <w:lang w:val="fr-FR"/>
        </w:rPr>
        <w:t>i</w:t>
      </w:r>
      <w:r w:rsidRPr="00281FD3">
        <w:rPr>
          <w:rFonts w:ascii="Verdana" w:hAnsi="Verdana"/>
          <w:sz w:val="20"/>
          <w:szCs w:val="20"/>
          <w:lang w:val="fr-FR"/>
        </w:rPr>
        <w:t>néa 3, 4° : droit à la protection d'un environnement sain</w:t>
      </w:r>
    </w:p>
    <w:p w14:paraId="02531EA1" w14:textId="77777777" w:rsidR="00EB1E33" w:rsidRPr="00281FD3" w:rsidRDefault="00EB1E33" w:rsidP="00281FD3">
      <w:pPr>
        <w:pStyle w:val="Paragraphedeliste"/>
        <w:numPr>
          <w:ilvl w:val="0"/>
          <w:numId w:val="9"/>
        </w:numPr>
        <w:spacing w:after="0" w:line="20" w:lineRule="atLeast"/>
        <w:jc w:val="both"/>
        <w:rPr>
          <w:rFonts w:ascii="Verdana" w:hAnsi="Verdana"/>
          <w:sz w:val="20"/>
          <w:szCs w:val="20"/>
          <w:lang w:val="fr-FR"/>
        </w:rPr>
      </w:pPr>
      <w:r w:rsidRPr="00281FD3">
        <w:rPr>
          <w:rFonts w:ascii="Verdana" w:hAnsi="Verdana"/>
          <w:sz w:val="20"/>
          <w:szCs w:val="20"/>
          <w:lang w:val="fr-FR"/>
        </w:rPr>
        <w:t xml:space="preserve">CEDH : Art. 2 : droit à la vie ; Art. 3 : interdiction de la torture ; Art. 8 : droit au respect de la vie privée et familiale ; </w:t>
      </w:r>
    </w:p>
    <w:p w14:paraId="49CAB41F" w14:textId="77777777" w:rsidR="00EB1E33" w:rsidRPr="00281FD3" w:rsidRDefault="00EB1E33" w:rsidP="00281FD3">
      <w:pPr>
        <w:pStyle w:val="Paragraphedeliste"/>
        <w:numPr>
          <w:ilvl w:val="0"/>
          <w:numId w:val="9"/>
        </w:numPr>
        <w:spacing w:after="0" w:line="20" w:lineRule="atLeast"/>
        <w:jc w:val="both"/>
        <w:rPr>
          <w:rFonts w:ascii="Verdana" w:hAnsi="Verdana"/>
          <w:sz w:val="20"/>
          <w:szCs w:val="20"/>
          <w:lang w:val="fr-FR"/>
        </w:rPr>
      </w:pPr>
      <w:r w:rsidRPr="00281FD3">
        <w:rPr>
          <w:rFonts w:ascii="Verdana" w:hAnsi="Verdana"/>
          <w:sz w:val="20"/>
          <w:szCs w:val="20"/>
          <w:lang w:val="fr-FR"/>
        </w:rPr>
        <w:t>Code civil : Art. 1382 : droit à une indemnisation pour les dommages (futurs) à la suite d’une erreur ; Article 544 : violation du droit de propriété.</w:t>
      </w:r>
    </w:p>
    <w:p w14:paraId="006CD47F" w14:textId="1B276876" w:rsidR="00EB1E33" w:rsidRPr="00281FD3" w:rsidRDefault="00EB1E33" w:rsidP="00281FD3">
      <w:pPr>
        <w:pStyle w:val="Paragraphedeliste"/>
        <w:numPr>
          <w:ilvl w:val="0"/>
          <w:numId w:val="9"/>
        </w:numPr>
        <w:spacing w:after="0" w:line="20" w:lineRule="atLeast"/>
        <w:jc w:val="both"/>
        <w:rPr>
          <w:rFonts w:ascii="Verdana" w:hAnsi="Verdana"/>
          <w:sz w:val="20"/>
          <w:szCs w:val="20"/>
          <w:lang w:val="fr-FR"/>
        </w:rPr>
      </w:pPr>
      <w:r w:rsidRPr="00281FD3">
        <w:rPr>
          <w:rFonts w:ascii="Verdana" w:hAnsi="Verdana"/>
          <w:sz w:val="20"/>
          <w:szCs w:val="20"/>
          <w:lang w:val="fr-FR"/>
        </w:rPr>
        <w:t>UE : le principe de précaution de l'article 191 du TFUE ainsi que les articles 2(1), 3, 4, 6, 7 et 8 de la Charte des Droits fondamentaux.</w:t>
      </w:r>
    </w:p>
    <w:p w14:paraId="02B5F215" w14:textId="77777777" w:rsidR="00281FD3" w:rsidRDefault="00281FD3" w:rsidP="00C03246">
      <w:pPr>
        <w:spacing w:after="0" w:line="20" w:lineRule="atLeast"/>
        <w:jc w:val="both"/>
        <w:rPr>
          <w:rFonts w:ascii="Verdana" w:hAnsi="Verdana"/>
          <w:sz w:val="20"/>
          <w:szCs w:val="20"/>
          <w:lang w:val="fr-FR"/>
        </w:rPr>
      </w:pPr>
    </w:p>
    <w:p w14:paraId="0532DDE9" w14:textId="71A5DA55" w:rsidR="00EB1E33" w:rsidRPr="00EB1E33" w:rsidRDefault="00EB1E33" w:rsidP="00C03246">
      <w:pPr>
        <w:spacing w:after="0" w:line="20" w:lineRule="atLeast"/>
        <w:jc w:val="both"/>
        <w:rPr>
          <w:rFonts w:ascii="Verdana" w:hAnsi="Verdana"/>
          <w:sz w:val="20"/>
          <w:szCs w:val="20"/>
          <w:lang w:val="fr-FR"/>
        </w:rPr>
      </w:pPr>
      <w:r w:rsidRPr="00EB1E33">
        <w:rPr>
          <w:rFonts w:ascii="Verdana" w:hAnsi="Verdana"/>
          <w:sz w:val="20"/>
          <w:szCs w:val="20"/>
          <w:lang w:val="fr-FR"/>
        </w:rPr>
        <w:t>Certains de ces droits fondamentaux sont absolus et non relatifs. Cela signifie que le gouvernement doit les garantir à tout moment et dans leur intégralité et qu'ils ne doivent pas être mis en balance avec d'autres considérations de politique générale.</w:t>
      </w:r>
    </w:p>
    <w:p w14:paraId="0B77EB78" w14:textId="77777777" w:rsidR="00EB1E33" w:rsidRPr="00EB1E33" w:rsidRDefault="00EB1E33" w:rsidP="00C03246">
      <w:pPr>
        <w:spacing w:after="0" w:line="20" w:lineRule="atLeast"/>
        <w:jc w:val="both"/>
        <w:rPr>
          <w:rFonts w:ascii="Verdana" w:hAnsi="Verdana"/>
          <w:sz w:val="20"/>
          <w:szCs w:val="20"/>
          <w:lang w:val="fr-FR"/>
        </w:rPr>
      </w:pPr>
    </w:p>
    <w:p w14:paraId="12911A70" w14:textId="77777777" w:rsidR="00EB1E33" w:rsidRPr="00EB1E33" w:rsidRDefault="00EB1E33" w:rsidP="00C03246">
      <w:pPr>
        <w:spacing w:after="0" w:line="20" w:lineRule="atLeast"/>
        <w:jc w:val="both"/>
        <w:rPr>
          <w:rFonts w:ascii="Verdana" w:hAnsi="Verdana"/>
          <w:sz w:val="20"/>
          <w:szCs w:val="20"/>
          <w:lang w:val="fr-FR"/>
        </w:rPr>
      </w:pPr>
      <w:r w:rsidRPr="00EB1E33">
        <w:rPr>
          <w:rFonts w:ascii="Verdana" w:hAnsi="Verdana"/>
          <w:sz w:val="20"/>
          <w:szCs w:val="20"/>
          <w:lang w:val="fr-FR"/>
        </w:rPr>
        <w:t xml:space="preserve">10. </w:t>
      </w:r>
    </w:p>
    <w:p w14:paraId="63AFE4DF" w14:textId="51DF3AC0" w:rsidR="00EB1E33" w:rsidRDefault="00EB1E33" w:rsidP="00C03246">
      <w:pPr>
        <w:spacing w:after="0" w:line="20" w:lineRule="atLeast"/>
        <w:jc w:val="both"/>
        <w:rPr>
          <w:rFonts w:ascii="Verdana" w:hAnsi="Verdana"/>
          <w:sz w:val="20"/>
          <w:szCs w:val="20"/>
          <w:lang w:val="fr-FR"/>
        </w:rPr>
      </w:pPr>
      <w:r w:rsidRPr="00EB1E33">
        <w:rPr>
          <w:rFonts w:ascii="Verdana" w:hAnsi="Verdana"/>
          <w:sz w:val="20"/>
          <w:szCs w:val="20"/>
          <w:lang w:val="fr-FR"/>
        </w:rPr>
        <w:t>L'article 3 des statuts de l’asbl BBSB stipule :</w:t>
      </w:r>
    </w:p>
    <w:p w14:paraId="7BDDC751" w14:textId="77777777" w:rsidR="00F4301A" w:rsidRPr="00EB1E33" w:rsidRDefault="00F4301A" w:rsidP="00C03246">
      <w:pPr>
        <w:spacing w:after="0" w:line="20" w:lineRule="atLeast"/>
        <w:jc w:val="both"/>
        <w:rPr>
          <w:rFonts w:ascii="Verdana" w:hAnsi="Verdana"/>
          <w:sz w:val="20"/>
          <w:szCs w:val="20"/>
          <w:lang w:val="fr-FR"/>
        </w:rPr>
      </w:pPr>
    </w:p>
    <w:p w14:paraId="6DEC22F7" w14:textId="77777777" w:rsidR="00EB1E33" w:rsidRPr="00F4301A" w:rsidRDefault="00EB1E33" w:rsidP="00281FD3">
      <w:pPr>
        <w:spacing w:after="0" w:line="20" w:lineRule="atLeast"/>
        <w:ind w:left="708"/>
        <w:jc w:val="both"/>
        <w:rPr>
          <w:rFonts w:ascii="Verdana" w:hAnsi="Verdana"/>
          <w:i/>
          <w:iCs/>
          <w:sz w:val="20"/>
          <w:szCs w:val="20"/>
          <w:lang w:val="fr-FR"/>
        </w:rPr>
      </w:pPr>
      <w:r w:rsidRPr="00F4301A">
        <w:rPr>
          <w:rFonts w:ascii="Verdana" w:hAnsi="Verdana"/>
          <w:i/>
          <w:iCs/>
          <w:sz w:val="20"/>
          <w:szCs w:val="20"/>
          <w:lang w:val="fr-FR"/>
        </w:rPr>
        <w:t>"L'objectif de l’asbl est de limiter l'impact nuisible sur l'environnement, les pe</w:t>
      </w:r>
      <w:r w:rsidRPr="00F4301A">
        <w:rPr>
          <w:rFonts w:ascii="Verdana" w:hAnsi="Verdana"/>
          <w:i/>
          <w:iCs/>
          <w:sz w:val="20"/>
          <w:szCs w:val="20"/>
          <w:lang w:val="fr-FR"/>
        </w:rPr>
        <w:t>r</w:t>
      </w:r>
      <w:r w:rsidRPr="00F4301A">
        <w:rPr>
          <w:rFonts w:ascii="Verdana" w:hAnsi="Verdana"/>
          <w:i/>
          <w:iCs/>
          <w:sz w:val="20"/>
          <w:szCs w:val="20"/>
          <w:lang w:val="fr-FR"/>
        </w:rPr>
        <w:t>sonnes, les plantes et les animaux et de sauvegarder les droits constitutionnels et autres droits subjectifs des citoyens affectés par la technologie sans fil actuelle et future, telle que la 5G, qui propage des champs électromagnétiques, y compris les limites applicables à cette technologie. D’autres technologies sans fil, actuelles et futures sont également incluses. Un exemple est le Lifi ou d'autres techniques b</w:t>
      </w:r>
      <w:r w:rsidRPr="00F4301A">
        <w:rPr>
          <w:rFonts w:ascii="Verdana" w:hAnsi="Verdana"/>
          <w:i/>
          <w:iCs/>
          <w:sz w:val="20"/>
          <w:szCs w:val="20"/>
          <w:lang w:val="fr-FR"/>
        </w:rPr>
        <w:t>a</w:t>
      </w:r>
      <w:r w:rsidRPr="00F4301A">
        <w:rPr>
          <w:rFonts w:ascii="Verdana" w:hAnsi="Verdana"/>
          <w:i/>
          <w:iCs/>
          <w:sz w:val="20"/>
          <w:szCs w:val="20"/>
          <w:lang w:val="fr-FR"/>
        </w:rPr>
        <w:t>sées sur la lumière."</w:t>
      </w:r>
    </w:p>
    <w:p w14:paraId="17064369" w14:textId="77777777" w:rsidR="00EB1E33" w:rsidRPr="00EB1E33" w:rsidRDefault="00EB1E33" w:rsidP="00C03246">
      <w:pPr>
        <w:spacing w:after="0" w:line="20" w:lineRule="atLeast"/>
        <w:jc w:val="both"/>
        <w:rPr>
          <w:rFonts w:ascii="Verdana" w:hAnsi="Verdana"/>
          <w:sz w:val="20"/>
          <w:szCs w:val="20"/>
          <w:lang w:val="fr-FR"/>
        </w:rPr>
      </w:pPr>
    </w:p>
    <w:p w14:paraId="6654D95A" w14:textId="06345A07" w:rsidR="00EB1E33" w:rsidRDefault="00EB1E33" w:rsidP="00C03246">
      <w:pPr>
        <w:spacing w:after="0" w:line="20" w:lineRule="atLeast"/>
        <w:jc w:val="both"/>
        <w:rPr>
          <w:rFonts w:ascii="Verdana" w:hAnsi="Verdana"/>
          <w:sz w:val="20"/>
          <w:szCs w:val="20"/>
          <w:lang w:val="fr-FR"/>
        </w:rPr>
      </w:pPr>
      <w:r w:rsidRPr="00EB1E33">
        <w:rPr>
          <w:rFonts w:ascii="Verdana" w:hAnsi="Verdana"/>
          <w:sz w:val="20"/>
          <w:szCs w:val="20"/>
          <w:lang w:val="fr-FR"/>
        </w:rPr>
        <w:t>Afin d'atteindre cet objectif, l'association peut prendre les mesures suivantes :</w:t>
      </w:r>
    </w:p>
    <w:p w14:paraId="216E6BBA" w14:textId="77777777" w:rsidR="00F4301A" w:rsidRPr="00EB1E33" w:rsidRDefault="00F4301A" w:rsidP="00C03246">
      <w:pPr>
        <w:spacing w:after="0" w:line="20" w:lineRule="atLeast"/>
        <w:jc w:val="both"/>
        <w:rPr>
          <w:rFonts w:ascii="Verdana" w:hAnsi="Verdana"/>
          <w:sz w:val="20"/>
          <w:szCs w:val="20"/>
          <w:lang w:val="fr-FR"/>
        </w:rPr>
      </w:pPr>
    </w:p>
    <w:p w14:paraId="6023331A" w14:textId="77777777" w:rsidR="00EB1E33" w:rsidRPr="00F4301A" w:rsidRDefault="00EB1E33" w:rsidP="00281FD3">
      <w:pPr>
        <w:spacing w:after="0" w:line="20" w:lineRule="atLeast"/>
        <w:ind w:left="708"/>
        <w:jc w:val="both"/>
        <w:rPr>
          <w:rFonts w:ascii="Verdana" w:hAnsi="Verdana"/>
          <w:i/>
          <w:iCs/>
          <w:sz w:val="20"/>
          <w:szCs w:val="20"/>
          <w:lang w:val="fr-FR"/>
        </w:rPr>
      </w:pPr>
      <w:r w:rsidRPr="00F4301A">
        <w:rPr>
          <w:rFonts w:ascii="Verdana" w:hAnsi="Verdana"/>
          <w:i/>
          <w:iCs/>
          <w:sz w:val="20"/>
          <w:szCs w:val="20"/>
          <w:lang w:val="fr-FR"/>
        </w:rPr>
        <w:t>" (...) L'association peut également réaliser et défendre ses objectifs en justice. Elle peut engager des actions en justice tant en réponse à des événements locaux qu'en réponse à des réglementations de toute nature émises par les autorités. L'association peut également agir en justice pour réparer et faire cesser les do</w:t>
      </w:r>
      <w:r w:rsidRPr="00F4301A">
        <w:rPr>
          <w:rFonts w:ascii="Verdana" w:hAnsi="Verdana"/>
          <w:i/>
          <w:iCs/>
          <w:sz w:val="20"/>
          <w:szCs w:val="20"/>
          <w:lang w:val="fr-FR"/>
        </w:rPr>
        <w:t>m</w:t>
      </w:r>
      <w:r w:rsidRPr="00F4301A">
        <w:rPr>
          <w:rFonts w:ascii="Verdana" w:hAnsi="Verdana"/>
          <w:i/>
          <w:iCs/>
          <w:sz w:val="20"/>
          <w:szCs w:val="20"/>
          <w:lang w:val="fr-FR"/>
        </w:rPr>
        <w:t>mages causés aux intérêts moraux de ses membres, dans la mesure où ceux-ci sont étroitement liés aux intérêts de l'association elle-même. L'association tient compte de la procédure et de la compétence des différentes juridictions telles que définies dans les lois, décrets et conventions. "</w:t>
      </w:r>
    </w:p>
    <w:p w14:paraId="416C4B61" w14:textId="77777777" w:rsidR="00EB1E33" w:rsidRPr="00EB1E33" w:rsidRDefault="00EB1E33" w:rsidP="00C03246">
      <w:pPr>
        <w:spacing w:after="0" w:line="20" w:lineRule="atLeast"/>
        <w:jc w:val="both"/>
        <w:rPr>
          <w:rFonts w:ascii="Verdana" w:hAnsi="Verdana"/>
          <w:sz w:val="20"/>
          <w:szCs w:val="20"/>
          <w:lang w:val="fr-FR"/>
        </w:rPr>
      </w:pPr>
    </w:p>
    <w:p w14:paraId="7294A765" w14:textId="77777777" w:rsidR="00EB1E33" w:rsidRPr="00EB1E33" w:rsidRDefault="00EB1E33" w:rsidP="00C03246">
      <w:pPr>
        <w:spacing w:after="0" w:line="20" w:lineRule="atLeast"/>
        <w:jc w:val="both"/>
        <w:rPr>
          <w:rFonts w:ascii="Verdana" w:hAnsi="Verdana"/>
          <w:sz w:val="20"/>
          <w:szCs w:val="20"/>
          <w:lang w:val="fr-FR"/>
        </w:rPr>
      </w:pPr>
      <w:r w:rsidRPr="00EB1E33">
        <w:rPr>
          <w:rFonts w:ascii="Verdana" w:hAnsi="Verdana"/>
          <w:sz w:val="20"/>
          <w:szCs w:val="20"/>
          <w:lang w:val="fr-FR"/>
        </w:rPr>
        <w:t>Il ne fait aucun doute que la présente procédure s'inscrit dans l'objectif social de l’asbl BBSB. Le but de cette procédure est de prévenir les rayonnements dangereux (faisant partie de notre environnement) en ordonnant aux défendeurs de procéder aux réductions de rayonnement nécessaires.</w:t>
      </w:r>
    </w:p>
    <w:p w14:paraId="76ED3DDD" w14:textId="66B93206" w:rsidR="007430D5" w:rsidRDefault="007430D5" w:rsidP="00C03246">
      <w:pPr>
        <w:spacing w:after="0" w:line="20" w:lineRule="atLeast"/>
        <w:jc w:val="both"/>
        <w:rPr>
          <w:rFonts w:ascii="Verdana" w:hAnsi="Verdana"/>
          <w:b/>
          <w:bCs/>
          <w:sz w:val="20"/>
          <w:szCs w:val="20"/>
          <w:u w:val="single"/>
          <w:lang w:val="fr-FR"/>
        </w:rPr>
      </w:pPr>
    </w:p>
    <w:p w14:paraId="69C10524" w14:textId="77777777" w:rsidR="00281FD3" w:rsidRPr="00B37420" w:rsidRDefault="00281FD3" w:rsidP="00C03246">
      <w:pPr>
        <w:spacing w:after="0" w:line="20" w:lineRule="atLeast"/>
        <w:jc w:val="both"/>
        <w:rPr>
          <w:rFonts w:ascii="Verdana" w:hAnsi="Verdana"/>
          <w:b/>
          <w:bCs/>
          <w:sz w:val="20"/>
          <w:szCs w:val="20"/>
          <w:u w:val="single"/>
          <w:lang w:val="fr-FR"/>
        </w:rPr>
      </w:pPr>
    </w:p>
    <w:p w14:paraId="4849012F" w14:textId="7AFE9CF6" w:rsidR="00046CBC" w:rsidRPr="00B37420" w:rsidRDefault="00CC05F2" w:rsidP="00C03246">
      <w:pPr>
        <w:spacing w:after="0" w:line="20" w:lineRule="atLeast"/>
        <w:jc w:val="both"/>
        <w:rPr>
          <w:rFonts w:ascii="Verdana" w:hAnsi="Verdana"/>
          <w:b/>
          <w:bCs/>
          <w:sz w:val="20"/>
          <w:szCs w:val="20"/>
          <w:u w:val="single"/>
          <w:lang w:val="fr-FR"/>
        </w:rPr>
      </w:pPr>
      <w:r w:rsidRPr="00B37420">
        <w:rPr>
          <w:rFonts w:ascii="Verdana" w:hAnsi="Verdana"/>
          <w:b/>
          <w:bCs/>
          <w:sz w:val="20"/>
          <w:szCs w:val="20"/>
          <w:u w:val="single"/>
          <w:lang w:val="fr-FR"/>
        </w:rPr>
        <w:t>IV</w:t>
      </w:r>
      <w:r w:rsidR="00046CBC" w:rsidRPr="00B37420">
        <w:rPr>
          <w:rFonts w:ascii="Verdana" w:hAnsi="Verdana"/>
          <w:b/>
          <w:bCs/>
          <w:sz w:val="20"/>
          <w:szCs w:val="20"/>
          <w:u w:val="single"/>
          <w:lang w:val="fr-FR"/>
        </w:rPr>
        <w:t xml:space="preserve">. </w:t>
      </w:r>
      <w:r w:rsidR="006D0545">
        <w:rPr>
          <w:rFonts w:ascii="Verdana" w:hAnsi="Verdana"/>
          <w:b/>
          <w:bCs/>
          <w:sz w:val="20"/>
          <w:szCs w:val="20"/>
          <w:u w:val="single"/>
          <w:lang w:val="fr-FR"/>
        </w:rPr>
        <w:t>JURIDIQUEMENT</w:t>
      </w:r>
    </w:p>
    <w:p w14:paraId="63730866" w14:textId="1ECE2C9A" w:rsidR="00CC05F2" w:rsidRPr="00B37420" w:rsidRDefault="00CC05F2" w:rsidP="00C03246">
      <w:pPr>
        <w:pStyle w:val="Sansinterligne"/>
        <w:spacing w:line="20" w:lineRule="atLeast"/>
        <w:jc w:val="both"/>
        <w:rPr>
          <w:rFonts w:ascii="Verdana" w:hAnsi="Verdana"/>
          <w:b/>
          <w:bCs/>
          <w:sz w:val="20"/>
          <w:szCs w:val="20"/>
          <w:u w:val="single"/>
          <w:lang w:val="fr-FR"/>
        </w:rPr>
      </w:pPr>
      <w:r w:rsidRPr="00B37420">
        <w:rPr>
          <w:rFonts w:ascii="Verdana" w:hAnsi="Verdana"/>
          <w:b/>
          <w:bCs/>
          <w:sz w:val="20"/>
          <w:szCs w:val="20"/>
          <w:u w:val="single"/>
          <w:lang w:val="fr-FR"/>
        </w:rPr>
        <w:t>A. PRINCIPES</w:t>
      </w:r>
    </w:p>
    <w:p w14:paraId="1F8C7840" w14:textId="77777777" w:rsidR="00CC05F2" w:rsidRPr="00B37420" w:rsidRDefault="00CC05F2" w:rsidP="00C03246">
      <w:pPr>
        <w:pStyle w:val="Sansinterligne"/>
        <w:spacing w:line="20" w:lineRule="atLeast"/>
        <w:jc w:val="both"/>
        <w:rPr>
          <w:rFonts w:ascii="Verdana" w:hAnsi="Verdana"/>
          <w:sz w:val="20"/>
          <w:szCs w:val="20"/>
          <w:lang w:val="fr-FR"/>
        </w:rPr>
      </w:pPr>
    </w:p>
    <w:p w14:paraId="5F7FD6D8" w14:textId="00E4E37E" w:rsidR="00046CBC" w:rsidRPr="00B37420" w:rsidRDefault="003B0994" w:rsidP="00C03246">
      <w:pPr>
        <w:pStyle w:val="Sansinterligne"/>
        <w:spacing w:line="20" w:lineRule="atLeast"/>
        <w:jc w:val="both"/>
        <w:rPr>
          <w:rFonts w:ascii="Verdana" w:hAnsi="Verdana"/>
          <w:sz w:val="20"/>
          <w:szCs w:val="20"/>
          <w:lang w:val="fr-FR"/>
        </w:rPr>
      </w:pPr>
      <w:r w:rsidRPr="00B37420">
        <w:rPr>
          <w:rFonts w:ascii="Verdana" w:hAnsi="Verdana"/>
          <w:sz w:val="20"/>
          <w:szCs w:val="20"/>
          <w:lang w:val="fr-FR"/>
        </w:rPr>
        <w:t>11</w:t>
      </w:r>
      <w:r w:rsidR="00046CBC" w:rsidRPr="00B37420">
        <w:rPr>
          <w:rFonts w:ascii="Verdana" w:hAnsi="Verdana"/>
          <w:sz w:val="20"/>
          <w:szCs w:val="20"/>
          <w:lang w:val="fr-FR"/>
        </w:rPr>
        <w:t>.</w:t>
      </w:r>
    </w:p>
    <w:p w14:paraId="7817B7FB"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La violation des droits de l'homme constitue une base juridique autonome pour faire droit aux demandes des requérants. Elle se distingue de la responsabilité civile par les él</w:t>
      </w:r>
      <w:r w:rsidRPr="00C33247">
        <w:rPr>
          <w:rFonts w:ascii="Verdana" w:hAnsi="Verdana"/>
          <w:sz w:val="20"/>
          <w:szCs w:val="20"/>
          <w:lang w:val="fr-FR"/>
        </w:rPr>
        <w:t>é</w:t>
      </w:r>
      <w:r w:rsidRPr="00C33247">
        <w:rPr>
          <w:rFonts w:ascii="Verdana" w:hAnsi="Verdana"/>
          <w:sz w:val="20"/>
          <w:szCs w:val="20"/>
          <w:lang w:val="fr-FR"/>
        </w:rPr>
        <w:t>ments classiques que sont la faute, le dommage et le lien de causalité.</w:t>
      </w:r>
    </w:p>
    <w:p w14:paraId="40FA15C4" w14:textId="77777777" w:rsidR="00C33247" w:rsidRPr="00C33247" w:rsidRDefault="00C33247" w:rsidP="00C03246">
      <w:pPr>
        <w:spacing w:after="0" w:line="20" w:lineRule="atLeast"/>
        <w:jc w:val="both"/>
        <w:rPr>
          <w:rFonts w:ascii="Verdana" w:hAnsi="Verdana"/>
          <w:sz w:val="20"/>
          <w:szCs w:val="20"/>
          <w:lang w:val="fr-FR"/>
        </w:rPr>
      </w:pPr>
    </w:p>
    <w:p w14:paraId="5521C42A"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 xml:space="preserve">12. </w:t>
      </w:r>
    </w:p>
    <w:p w14:paraId="0B6F4F6F"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Le principe de prévention et le principe de précaution constituent également des bases juridiques autonomes justifiant les prétentions des requérants. C'est ce qui ressort n</w:t>
      </w:r>
      <w:r w:rsidRPr="00C33247">
        <w:rPr>
          <w:rFonts w:ascii="Verdana" w:hAnsi="Verdana"/>
          <w:sz w:val="20"/>
          <w:szCs w:val="20"/>
          <w:lang w:val="fr-FR"/>
        </w:rPr>
        <w:t>o</w:t>
      </w:r>
      <w:r w:rsidRPr="00C33247">
        <w:rPr>
          <w:rFonts w:ascii="Verdana" w:hAnsi="Verdana"/>
          <w:sz w:val="20"/>
          <w:szCs w:val="20"/>
          <w:lang w:val="fr-FR"/>
        </w:rPr>
        <w:t>tamment de la jurisprudence de la Cour d'appel de Gand, qui a jugé que "compte tenu des principes d'action préventive et de précaution inclus dans la législation environn</w:t>
      </w:r>
      <w:r w:rsidRPr="00C33247">
        <w:rPr>
          <w:rFonts w:ascii="Verdana" w:hAnsi="Verdana"/>
          <w:sz w:val="20"/>
          <w:szCs w:val="20"/>
          <w:lang w:val="fr-FR"/>
        </w:rPr>
        <w:t>e</w:t>
      </w:r>
      <w:r w:rsidRPr="00C33247">
        <w:rPr>
          <w:rFonts w:ascii="Verdana" w:hAnsi="Verdana"/>
          <w:sz w:val="20"/>
          <w:szCs w:val="20"/>
          <w:lang w:val="fr-FR"/>
        </w:rPr>
        <w:t>mentale, une intervention juridique est nécessaire". (Gand 26 juin 2001 et 20 novembre 2001, AJT 2001-02, 828)</w:t>
      </w:r>
    </w:p>
    <w:p w14:paraId="48471670"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Il est particulièrement important de noter que le tribunal n'a pas conclu à une violation avérée du droit de l'environnement, mais s'est fondé uniquement sur une menace grave pour l'environnement et la santé du plaignant.</w:t>
      </w:r>
    </w:p>
    <w:p w14:paraId="6A349A9B" w14:textId="77777777" w:rsidR="00C33247" w:rsidRPr="00C33247" w:rsidRDefault="00C33247" w:rsidP="00C03246">
      <w:pPr>
        <w:spacing w:after="0" w:line="20" w:lineRule="atLeast"/>
        <w:jc w:val="both"/>
        <w:rPr>
          <w:rFonts w:ascii="Verdana" w:hAnsi="Verdana"/>
          <w:sz w:val="20"/>
          <w:szCs w:val="20"/>
          <w:lang w:val="fr-FR"/>
        </w:rPr>
      </w:pPr>
    </w:p>
    <w:p w14:paraId="7F1C16EE"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13.</w:t>
      </w:r>
    </w:p>
    <w:p w14:paraId="73A89481"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 xml:space="preserve">La violation de la norme de diligence par les défendeurs donne également lieu à une sanction. La victime d'un acte illicite a le droit de demander une réparation en nature plutôt qu'en argent. (H. BOCKEN, "Restitution en nature et injonction ou interdiction. Quelques réflexions supplémentaires sur l'arrêt de cassation du 26 juin 1980.", in Liber Amicorum Jan Ronse, Bruxelles, Story-Scientia, 1986, 500) </w:t>
      </w:r>
    </w:p>
    <w:p w14:paraId="2556165F" w14:textId="77777777" w:rsidR="00C33247" w:rsidRPr="00C33247" w:rsidRDefault="00C33247" w:rsidP="00C03246">
      <w:pPr>
        <w:spacing w:after="0" w:line="20" w:lineRule="atLeast"/>
        <w:jc w:val="both"/>
        <w:rPr>
          <w:rFonts w:ascii="Verdana" w:hAnsi="Verdana"/>
          <w:sz w:val="20"/>
          <w:szCs w:val="20"/>
          <w:lang w:val="fr-FR"/>
        </w:rPr>
      </w:pPr>
    </w:p>
    <w:p w14:paraId="72A4F793"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lastRenderedPageBreak/>
        <w:t>Dans le cadre de la réparation en nature, le juge peut en effet prendre des mesures sp</w:t>
      </w:r>
      <w:r w:rsidRPr="00C33247">
        <w:rPr>
          <w:rFonts w:ascii="Verdana" w:hAnsi="Verdana"/>
          <w:sz w:val="20"/>
          <w:szCs w:val="20"/>
          <w:lang w:val="fr-FR"/>
        </w:rPr>
        <w:t>é</w:t>
      </w:r>
      <w:r w:rsidRPr="00C33247">
        <w:rPr>
          <w:rFonts w:ascii="Verdana" w:hAnsi="Verdana"/>
          <w:sz w:val="20"/>
          <w:szCs w:val="20"/>
          <w:lang w:val="fr-FR"/>
        </w:rPr>
        <w:t>cifiques nombreuses et variées pour rétablir la victime dans l'état dans lequel elle serait restée ou arrivée si le dommage n'était pas survenu. (Idem, 501)</w:t>
      </w:r>
    </w:p>
    <w:p w14:paraId="3DBAC407" w14:textId="77777777" w:rsidR="00C33247" w:rsidRPr="00C33247" w:rsidRDefault="00C33247" w:rsidP="00C03246">
      <w:pPr>
        <w:spacing w:after="0" w:line="20" w:lineRule="atLeast"/>
        <w:jc w:val="both"/>
        <w:rPr>
          <w:rFonts w:ascii="Verdana" w:hAnsi="Verdana"/>
          <w:sz w:val="20"/>
          <w:szCs w:val="20"/>
          <w:lang w:val="fr-FR"/>
        </w:rPr>
      </w:pPr>
    </w:p>
    <w:p w14:paraId="40FF23AC"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 xml:space="preserve">Déjà en 1980, la Cour de cassation a décidé qu'il était possible d'ordonner la restauration en nature d’une situation dommageable. (Cass. 26 juin 1980, Pas. 1980, I, 1342, RW 1980-81, 1661) </w:t>
      </w:r>
    </w:p>
    <w:p w14:paraId="1708633D" w14:textId="77777777" w:rsidR="00C33247" w:rsidRPr="00C33247" w:rsidRDefault="00C33247" w:rsidP="00C03246">
      <w:pPr>
        <w:spacing w:after="0" w:line="20" w:lineRule="atLeast"/>
        <w:jc w:val="both"/>
        <w:rPr>
          <w:rFonts w:ascii="Verdana" w:hAnsi="Verdana"/>
          <w:sz w:val="20"/>
          <w:szCs w:val="20"/>
          <w:lang w:val="fr-FR"/>
        </w:rPr>
      </w:pPr>
    </w:p>
    <w:p w14:paraId="37D3E843" w14:textId="77777777" w:rsidR="00C33247" w:rsidRPr="005411A3" w:rsidRDefault="00C33247" w:rsidP="00C03246">
      <w:pPr>
        <w:spacing w:after="0" w:line="20" w:lineRule="atLeast"/>
        <w:jc w:val="both"/>
        <w:rPr>
          <w:rFonts w:ascii="Verdana" w:hAnsi="Verdana"/>
          <w:sz w:val="20"/>
          <w:szCs w:val="20"/>
          <w:lang w:val="fr-BE"/>
        </w:rPr>
      </w:pPr>
      <w:r w:rsidRPr="005411A3">
        <w:rPr>
          <w:rFonts w:ascii="Verdana" w:hAnsi="Verdana"/>
          <w:sz w:val="20"/>
          <w:szCs w:val="20"/>
          <w:lang w:val="fr-BE"/>
        </w:rPr>
        <w:t xml:space="preserve">14. </w:t>
      </w:r>
      <w:r w:rsidRPr="005411A3">
        <w:rPr>
          <w:rFonts w:ascii="Verdana" w:hAnsi="Verdana"/>
          <w:color w:val="00B0F0"/>
          <w:sz w:val="20"/>
          <w:szCs w:val="20"/>
          <w:lang w:val="fr-BE"/>
        </w:rPr>
        <w:t>BW = Burgerlijk Wetboek = Code Civil = CC?</w:t>
      </w:r>
    </w:p>
    <w:p w14:paraId="578228A8"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Bien que l'article 1382 du CC ne se réfère qu'à la réparation des dommages, le tribunal peut également prendre des mesures préventives pour éviter la menace d’actes illicites et les dommages qui peuvent en résulter. L'article 1382 du CC est en fait l'application d'une règle très générale, à savoir qu'il existe une obligation légale préexistante qui i</w:t>
      </w:r>
      <w:r w:rsidRPr="00C33247">
        <w:rPr>
          <w:rFonts w:ascii="Verdana" w:hAnsi="Verdana"/>
          <w:sz w:val="20"/>
          <w:szCs w:val="20"/>
          <w:lang w:val="fr-FR"/>
        </w:rPr>
        <w:t>n</w:t>
      </w:r>
      <w:r w:rsidRPr="00C33247">
        <w:rPr>
          <w:rFonts w:ascii="Verdana" w:hAnsi="Verdana"/>
          <w:sz w:val="20"/>
          <w:szCs w:val="20"/>
          <w:lang w:val="fr-FR"/>
        </w:rPr>
        <w:t>terdit de causer un dommage illicite. Si un tribunal peut décider de réparer un dommage sur cette base, il peut également ordonner des mesures visant à respecter cette oblig</w:t>
      </w:r>
      <w:r w:rsidRPr="00C33247">
        <w:rPr>
          <w:rFonts w:ascii="Verdana" w:hAnsi="Verdana"/>
          <w:sz w:val="20"/>
          <w:szCs w:val="20"/>
          <w:lang w:val="fr-FR"/>
        </w:rPr>
        <w:t>a</w:t>
      </w:r>
      <w:r w:rsidRPr="00C33247">
        <w:rPr>
          <w:rFonts w:ascii="Verdana" w:hAnsi="Verdana"/>
          <w:sz w:val="20"/>
          <w:szCs w:val="20"/>
          <w:lang w:val="fr-FR"/>
        </w:rPr>
        <w:t>tion légale préexistante. Il n'est donc certainement pas nécessaire qu'une faute existe déjà ou que le dommage ait déjà été causé pour que le juge puisse imposer des mesures préventives.</w:t>
      </w:r>
    </w:p>
    <w:p w14:paraId="430BC221" w14:textId="77777777" w:rsidR="00C33247" w:rsidRPr="00C33247" w:rsidRDefault="00C33247" w:rsidP="00C03246">
      <w:pPr>
        <w:spacing w:after="0" w:line="20" w:lineRule="atLeast"/>
        <w:jc w:val="both"/>
        <w:rPr>
          <w:rFonts w:ascii="Verdana" w:hAnsi="Verdana"/>
          <w:sz w:val="20"/>
          <w:szCs w:val="20"/>
          <w:lang w:val="fr-FR"/>
        </w:rPr>
      </w:pPr>
    </w:p>
    <w:p w14:paraId="35234EF8" w14:textId="77777777" w:rsidR="00C33247" w:rsidRPr="00C33247"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15.</w:t>
      </w:r>
    </w:p>
    <w:p w14:paraId="2766ED7B" w14:textId="2191F941" w:rsidR="00BA508C" w:rsidRDefault="00C33247" w:rsidP="00C03246">
      <w:pPr>
        <w:spacing w:after="0" w:line="20" w:lineRule="atLeast"/>
        <w:jc w:val="both"/>
        <w:rPr>
          <w:rFonts w:ascii="Verdana" w:hAnsi="Verdana"/>
          <w:sz w:val="20"/>
          <w:szCs w:val="20"/>
          <w:lang w:val="fr-FR"/>
        </w:rPr>
      </w:pPr>
      <w:r w:rsidRPr="00C33247">
        <w:rPr>
          <w:rFonts w:ascii="Verdana" w:hAnsi="Verdana"/>
          <w:sz w:val="20"/>
          <w:szCs w:val="20"/>
          <w:lang w:val="fr-FR"/>
        </w:rPr>
        <w:t>Les requérants considèrent que la présente procédure concerne une erreur actuelle et une atteinte aux intérêts impliquant à la fois un dommage actuel et un dommage futur. Les deux types de dommages ont été exposés et démontrés précédemment. Les préte</w:t>
      </w:r>
      <w:r w:rsidRPr="00C33247">
        <w:rPr>
          <w:rFonts w:ascii="Verdana" w:hAnsi="Verdana"/>
          <w:sz w:val="20"/>
          <w:szCs w:val="20"/>
          <w:lang w:val="fr-FR"/>
        </w:rPr>
        <w:t>n</w:t>
      </w:r>
      <w:r w:rsidRPr="00C33247">
        <w:rPr>
          <w:rFonts w:ascii="Verdana" w:hAnsi="Verdana"/>
          <w:sz w:val="20"/>
          <w:szCs w:val="20"/>
          <w:lang w:val="fr-FR"/>
        </w:rPr>
        <w:t>tions des requérants sont donc justifiées : l'imposition d'une injonction de limiter les r</w:t>
      </w:r>
      <w:r w:rsidRPr="00C33247">
        <w:rPr>
          <w:rFonts w:ascii="Verdana" w:hAnsi="Verdana"/>
          <w:sz w:val="20"/>
          <w:szCs w:val="20"/>
          <w:lang w:val="fr-FR"/>
        </w:rPr>
        <w:t>a</w:t>
      </w:r>
      <w:r w:rsidRPr="00C33247">
        <w:rPr>
          <w:rFonts w:ascii="Verdana" w:hAnsi="Verdana"/>
          <w:sz w:val="20"/>
          <w:szCs w:val="20"/>
          <w:lang w:val="fr-FR"/>
        </w:rPr>
        <w:t>diations doit être considérée à la fois comme une réparation en nature du dommage a</w:t>
      </w:r>
      <w:r w:rsidRPr="00C33247">
        <w:rPr>
          <w:rFonts w:ascii="Verdana" w:hAnsi="Verdana"/>
          <w:sz w:val="20"/>
          <w:szCs w:val="20"/>
          <w:lang w:val="fr-FR"/>
        </w:rPr>
        <w:t>c</w:t>
      </w:r>
      <w:r w:rsidRPr="00C33247">
        <w:rPr>
          <w:rFonts w:ascii="Verdana" w:hAnsi="Verdana"/>
          <w:sz w:val="20"/>
          <w:szCs w:val="20"/>
          <w:lang w:val="fr-FR"/>
        </w:rPr>
        <w:t>tuel et comme une mesure préventive pour éviter un dommage futur.</w:t>
      </w:r>
    </w:p>
    <w:p w14:paraId="7813EB08" w14:textId="2F2C897E" w:rsidR="00C33247" w:rsidRDefault="00C33247" w:rsidP="00C03246">
      <w:pPr>
        <w:spacing w:after="0" w:line="20" w:lineRule="atLeast"/>
        <w:jc w:val="both"/>
        <w:rPr>
          <w:rFonts w:ascii="Verdana" w:hAnsi="Verdana"/>
          <w:sz w:val="20"/>
          <w:szCs w:val="20"/>
          <w:lang w:val="fr-FR"/>
        </w:rPr>
      </w:pPr>
    </w:p>
    <w:p w14:paraId="5AA37CB7" w14:textId="77777777" w:rsidR="00C33247" w:rsidRPr="00FC791F" w:rsidRDefault="00C33247" w:rsidP="00C03246">
      <w:pPr>
        <w:spacing w:after="0" w:line="20" w:lineRule="atLeast"/>
        <w:jc w:val="both"/>
        <w:rPr>
          <w:rFonts w:ascii="Verdana" w:hAnsi="Verdana"/>
          <w:sz w:val="20"/>
          <w:szCs w:val="20"/>
          <w:lang w:val="fr-FR"/>
        </w:rPr>
      </w:pPr>
    </w:p>
    <w:p w14:paraId="559335EB" w14:textId="742303E0" w:rsidR="00BA508C" w:rsidRPr="00FC791F" w:rsidRDefault="00BA508C" w:rsidP="00C03246">
      <w:pPr>
        <w:spacing w:after="0" w:line="20" w:lineRule="atLeast"/>
        <w:jc w:val="both"/>
        <w:rPr>
          <w:rFonts w:ascii="Verdana" w:hAnsi="Verdana"/>
          <w:b/>
          <w:bCs/>
          <w:sz w:val="20"/>
          <w:szCs w:val="20"/>
          <w:u w:val="single"/>
          <w:lang w:val="fr-FR"/>
        </w:rPr>
      </w:pPr>
      <w:r w:rsidRPr="00D5092C">
        <w:rPr>
          <w:rFonts w:ascii="Verdana" w:hAnsi="Verdana"/>
          <w:b/>
          <w:bCs/>
          <w:sz w:val="20"/>
          <w:szCs w:val="20"/>
          <w:u w:val="single"/>
          <w:lang w:val="fr-FR"/>
        </w:rPr>
        <w:t>B. VIOLATION</w:t>
      </w:r>
      <w:r w:rsidRPr="00FC791F">
        <w:rPr>
          <w:rFonts w:ascii="Verdana" w:hAnsi="Verdana"/>
          <w:b/>
          <w:bCs/>
          <w:sz w:val="20"/>
          <w:szCs w:val="20"/>
          <w:u w:val="single"/>
          <w:lang w:val="fr-FR"/>
        </w:rPr>
        <w:t xml:space="preserve"> DE LA LOI DU 12 JUILLET 1985</w:t>
      </w:r>
    </w:p>
    <w:p w14:paraId="352BFEAC" w14:textId="77777777" w:rsidR="00C57D79" w:rsidRDefault="00C57D79" w:rsidP="00C03246">
      <w:pPr>
        <w:spacing w:after="0" w:line="20" w:lineRule="atLeast"/>
        <w:jc w:val="both"/>
        <w:rPr>
          <w:rFonts w:ascii="Verdana" w:eastAsia="Times New Roman" w:hAnsi="Verdana" w:cs="Plantin MT Std"/>
          <w:sz w:val="20"/>
          <w:szCs w:val="20"/>
          <w:lang w:val="fr-FR" w:eastAsia="nl-BE"/>
        </w:rPr>
      </w:pPr>
    </w:p>
    <w:p w14:paraId="5AA94CB6" w14:textId="7582C77D"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16.</w:t>
      </w:r>
    </w:p>
    <w:p w14:paraId="2BF0C673"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En outre, cette réglementation a été adoptée en application du décret relatif au permis d'environnement et en application de la Loi du 12 juillet 1985 relative à la protection de l'homme et de l'environnement contre les effets nocifs et les nuisances provoqués par les radiations non ionisantes, les infrasons et les ultrasons. (MB du 26 novembre 1985)</w:t>
      </w:r>
    </w:p>
    <w:p w14:paraId="4EF9E592"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63E8E9EE"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Il convient de se référer à cet égard à l'application de l'article 4 de la Loi du 12 juillet 1985 relative à la protection de l'homme et de l'environnement contre les effets nocifs et les nuisances provoqués par les radiations non ionisantes, les infrasons et les ultrasons, qui stipule ce qui suit :</w:t>
      </w:r>
    </w:p>
    <w:p w14:paraId="79632BC5" w14:textId="77777777" w:rsidR="00C57D79" w:rsidRPr="00C57D79" w:rsidRDefault="00C57D79" w:rsidP="00281FD3">
      <w:pPr>
        <w:spacing w:after="0" w:line="20" w:lineRule="atLeast"/>
        <w:ind w:left="708"/>
        <w:jc w:val="both"/>
        <w:rPr>
          <w:rFonts w:ascii="Verdana" w:eastAsia="Times New Roman" w:hAnsi="Verdana" w:cs="Plantin MT Std"/>
          <w:i/>
          <w:iCs/>
          <w:sz w:val="20"/>
          <w:szCs w:val="20"/>
          <w:lang w:val="fr-FR" w:eastAsia="nl-BE"/>
        </w:rPr>
      </w:pPr>
      <w:r w:rsidRPr="00C57D79">
        <w:rPr>
          <w:rFonts w:ascii="Verdana" w:eastAsia="Times New Roman" w:hAnsi="Verdana" w:cs="Plantin MT Std"/>
          <w:i/>
          <w:iCs/>
          <w:sz w:val="20"/>
          <w:szCs w:val="20"/>
          <w:lang w:val="fr-FR" w:eastAsia="nl-BE"/>
        </w:rPr>
        <w:t>Art. 4. § 1er. Selon la nature et la source des radiations non ionisantes, des infr</w:t>
      </w:r>
      <w:r w:rsidRPr="00C57D79">
        <w:rPr>
          <w:rFonts w:ascii="Verdana" w:eastAsia="Times New Roman" w:hAnsi="Verdana" w:cs="Plantin MT Std"/>
          <w:i/>
          <w:iCs/>
          <w:sz w:val="20"/>
          <w:szCs w:val="20"/>
          <w:lang w:val="fr-FR" w:eastAsia="nl-BE"/>
        </w:rPr>
        <w:t>a</w:t>
      </w:r>
      <w:r w:rsidRPr="00C57D79">
        <w:rPr>
          <w:rFonts w:ascii="Verdana" w:eastAsia="Times New Roman" w:hAnsi="Verdana" w:cs="Plantin MT Std"/>
          <w:i/>
          <w:iCs/>
          <w:sz w:val="20"/>
          <w:szCs w:val="20"/>
          <w:lang w:val="fr-FR" w:eastAsia="nl-BE"/>
        </w:rPr>
        <w:t>sons ou des ultrasons ainsi que le milieu ou ceux-ci sont produits, transmis ou r</w:t>
      </w:r>
      <w:r w:rsidRPr="00C57D79">
        <w:rPr>
          <w:rFonts w:ascii="Verdana" w:eastAsia="Times New Roman" w:hAnsi="Verdana" w:cs="Plantin MT Std"/>
          <w:i/>
          <w:iCs/>
          <w:sz w:val="20"/>
          <w:szCs w:val="20"/>
          <w:lang w:val="fr-FR" w:eastAsia="nl-BE"/>
        </w:rPr>
        <w:t>e</w:t>
      </w:r>
      <w:r w:rsidRPr="00C57D79">
        <w:rPr>
          <w:rFonts w:ascii="Verdana" w:eastAsia="Times New Roman" w:hAnsi="Verdana" w:cs="Plantin MT Std"/>
          <w:i/>
          <w:iCs/>
          <w:sz w:val="20"/>
          <w:szCs w:val="20"/>
          <w:lang w:val="fr-FR" w:eastAsia="nl-BE"/>
        </w:rPr>
        <w:t>çus, les arrêtés royaux pris en exécution des articles 2 et 3 sont proposés conjoi</w:t>
      </w:r>
      <w:r w:rsidRPr="00C57D79">
        <w:rPr>
          <w:rFonts w:ascii="Verdana" w:eastAsia="Times New Roman" w:hAnsi="Verdana" w:cs="Plantin MT Std"/>
          <w:i/>
          <w:iCs/>
          <w:sz w:val="20"/>
          <w:szCs w:val="20"/>
          <w:lang w:val="fr-FR" w:eastAsia="nl-BE"/>
        </w:rPr>
        <w:t>n</w:t>
      </w:r>
      <w:r w:rsidRPr="00C57D79">
        <w:rPr>
          <w:rFonts w:ascii="Verdana" w:eastAsia="Times New Roman" w:hAnsi="Verdana" w:cs="Plantin MT Std"/>
          <w:i/>
          <w:iCs/>
          <w:sz w:val="20"/>
          <w:szCs w:val="20"/>
          <w:lang w:val="fr-FR" w:eastAsia="nl-BE"/>
        </w:rPr>
        <w:t>tement par les Ministres nationaux compétents en la matière</w:t>
      </w:r>
    </w:p>
    <w:p w14:paraId="6C931C60" w14:textId="77777777" w:rsidR="00C57D79" w:rsidRPr="00C57D79" w:rsidRDefault="00C57D79" w:rsidP="00281FD3">
      <w:pPr>
        <w:spacing w:after="0" w:line="20" w:lineRule="atLeast"/>
        <w:ind w:left="708"/>
        <w:jc w:val="both"/>
        <w:rPr>
          <w:rFonts w:ascii="Verdana" w:eastAsia="Times New Roman" w:hAnsi="Verdana" w:cs="Plantin MT Std"/>
          <w:sz w:val="20"/>
          <w:szCs w:val="20"/>
          <w:lang w:val="fr-FR" w:eastAsia="nl-BE"/>
        </w:rPr>
      </w:pPr>
      <w:r w:rsidRPr="00C57D79">
        <w:rPr>
          <w:rFonts w:ascii="Verdana" w:eastAsia="Times New Roman" w:hAnsi="Verdana" w:cs="Plantin MT Std"/>
          <w:i/>
          <w:iCs/>
          <w:sz w:val="20"/>
          <w:szCs w:val="20"/>
          <w:lang w:val="fr-FR" w:eastAsia="nl-BE"/>
        </w:rPr>
        <w:t xml:space="preserve">§ 2. Les arrêtés royaux visés au paragraphe précédent </w:t>
      </w:r>
      <w:r w:rsidRPr="0087021D">
        <w:rPr>
          <w:rFonts w:ascii="Verdana" w:eastAsia="Times New Roman" w:hAnsi="Verdana" w:cs="Plantin MT Std"/>
          <w:i/>
          <w:iCs/>
          <w:sz w:val="20"/>
          <w:szCs w:val="20"/>
          <w:u w:val="single"/>
          <w:lang w:val="fr-FR" w:eastAsia="nl-BE"/>
        </w:rPr>
        <w:t>sont, préalablement, so</w:t>
      </w:r>
      <w:r w:rsidRPr="0087021D">
        <w:rPr>
          <w:rFonts w:ascii="Verdana" w:eastAsia="Times New Roman" w:hAnsi="Verdana" w:cs="Plantin MT Std"/>
          <w:i/>
          <w:iCs/>
          <w:sz w:val="20"/>
          <w:szCs w:val="20"/>
          <w:u w:val="single"/>
          <w:lang w:val="fr-FR" w:eastAsia="nl-BE"/>
        </w:rPr>
        <w:t>u</w:t>
      </w:r>
      <w:r w:rsidRPr="0087021D">
        <w:rPr>
          <w:rFonts w:ascii="Verdana" w:eastAsia="Times New Roman" w:hAnsi="Verdana" w:cs="Plantin MT Std"/>
          <w:i/>
          <w:iCs/>
          <w:sz w:val="20"/>
          <w:szCs w:val="20"/>
          <w:u w:val="single"/>
          <w:lang w:val="fr-FR" w:eastAsia="nl-BE"/>
        </w:rPr>
        <w:t>mis à l'avis du Conseil supérieur d'Hygiène publique.</w:t>
      </w:r>
      <w:r w:rsidRPr="00C57D79">
        <w:rPr>
          <w:rFonts w:ascii="Verdana" w:eastAsia="Times New Roman" w:hAnsi="Verdana" w:cs="Plantin MT Std"/>
          <w:i/>
          <w:iCs/>
          <w:sz w:val="20"/>
          <w:szCs w:val="20"/>
          <w:lang w:val="fr-FR" w:eastAsia="nl-BE"/>
        </w:rPr>
        <w:t xml:space="preserve"> </w:t>
      </w:r>
      <w:r w:rsidRPr="00C57D79">
        <w:rPr>
          <w:rFonts w:ascii="Verdana" w:eastAsia="Times New Roman" w:hAnsi="Verdana" w:cs="Plantin MT Std"/>
          <w:sz w:val="20"/>
          <w:szCs w:val="20"/>
          <w:lang w:val="fr-FR" w:eastAsia="nl-BE"/>
        </w:rPr>
        <w:t>(c'est nous qui soulignons)</w:t>
      </w:r>
    </w:p>
    <w:p w14:paraId="62B479CC"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40B168BE"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 xml:space="preserve">Il s'ensuit que </w:t>
      </w:r>
      <w:r w:rsidRPr="0087021D">
        <w:rPr>
          <w:rFonts w:ascii="Verdana" w:eastAsia="Times New Roman" w:hAnsi="Verdana" w:cs="Plantin MT Std"/>
          <w:b/>
          <w:bCs/>
          <w:sz w:val="20"/>
          <w:szCs w:val="20"/>
          <w:lang w:val="fr-FR" w:eastAsia="nl-BE"/>
        </w:rPr>
        <w:t>l'avis du Conseil supérieur de la santé doit</w:t>
      </w:r>
      <w:r w:rsidRPr="00C57D79">
        <w:rPr>
          <w:rFonts w:ascii="Verdana" w:eastAsia="Times New Roman" w:hAnsi="Verdana" w:cs="Plantin MT Std"/>
          <w:sz w:val="20"/>
          <w:szCs w:val="20"/>
          <w:lang w:val="fr-FR" w:eastAsia="nl-BE"/>
        </w:rPr>
        <w:t xml:space="preserve"> être obtenu au préalable lors de la détermination des normes de rayonnement.</w:t>
      </w:r>
    </w:p>
    <w:p w14:paraId="710C0E7F"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7695174B"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Toutefois, dans l'arrêté du Gouvernement flamand du 16 décembre 2011 modifiant d</w:t>
      </w:r>
      <w:r w:rsidRPr="00C57D79">
        <w:rPr>
          <w:rFonts w:ascii="Verdana" w:eastAsia="Times New Roman" w:hAnsi="Verdana" w:cs="Plantin MT Std"/>
          <w:sz w:val="20"/>
          <w:szCs w:val="20"/>
          <w:lang w:val="fr-FR" w:eastAsia="nl-BE"/>
        </w:rPr>
        <w:t>i</w:t>
      </w:r>
      <w:r w:rsidRPr="00C57D79">
        <w:rPr>
          <w:rFonts w:ascii="Verdana" w:eastAsia="Times New Roman" w:hAnsi="Verdana" w:cs="Plantin MT Std"/>
          <w:sz w:val="20"/>
          <w:szCs w:val="20"/>
          <w:lang w:val="fr-FR" w:eastAsia="nl-BE"/>
        </w:rPr>
        <w:t>verses dispositions de l'arrêté du Gouvernement flamand du 1er juin 1995 relatif aux dispositions générales et sectorielles en matière d’hygiène environnementale et de l'arr</w:t>
      </w:r>
      <w:r w:rsidRPr="00C57D79">
        <w:rPr>
          <w:rFonts w:ascii="Verdana" w:eastAsia="Times New Roman" w:hAnsi="Verdana" w:cs="Plantin MT Std"/>
          <w:sz w:val="20"/>
          <w:szCs w:val="20"/>
          <w:lang w:val="fr-FR" w:eastAsia="nl-BE"/>
        </w:rPr>
        <w:t>ê</w:t>
      </w:r>
      <w:r w:rsidRPr="00C57D79">
        <w:rPr>
          <w:rFonts w:ascii="Verdana" w:eastAsia="Times New Roman" w:hAnsi="Verdana" w:cs="Plantin MT Std"/>
          <w:sz w:val="20"/>
          <w:szCs w:val="20"/>
          <w:lang w:val="fr-FR" w:eastAsia="nl-BE"/>
        </w:rPr>
        <w:t>té du Gouvernement flamand du 19 novembre 2010 relatif à la normalisation des a</w:t>
      </w:r>
      <w:r w:rsidRPr="00C57D79">
        <w:rPr>
          <w:rFonts w:ascii="Verdana" w:eastAsia="Times New Roman" w:hAnsi="Verdana" w:cs="Plantin MT Std"/>
          <w:sz w:val="20"/>
          <w:szCs w:val="20"/>
          <w:lang w:val="fr-FR" w:eastAsia="nl-BE"/>
        </w:rPr>
        <w:t>n</w:t>
      </w:r>
      <w:r w:rsidRPr="00C57D79">
        <w:rPr>
          <w:rFonts w:ascii="Verdana" w:eastAsia="Times New Roman" w:hAnsi="Verdana" w:cs="Plantin MT Std"/>
          <w:sz w:val="20"/>
          <w:szCs w:val="20"/>
          <w:lang w:val="fr-FR" w:eastAsia="nl-BE"/>
        </w:rPr>
        <w:t>tennes émettrices fixes et temporaires pour les ondes électromagnétiques entre 10 MHz et 10 GHz, on ne trouve aucune référence à un avis du Conseil supérieur de la santé.</w:t>
      </w:r>
    </w:p>
    <w:p w14:paraId="50AB8D82"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60609867" w14:textId="4B75474B"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lastRenderedPageBreak/>
        <w:t xml:space="preserve">Il existe </w:t>
      </w:r>
      <w:r w:rsidR="0087021D">
        <w:rPr>
          <w:rFonts w:ascii="Verdana" w:eastAsia="Times New Roman" w:hAnsi="Verdana" w:cs="Plantin MT Std"/>
          <w:sz w:val="20"/>
          <w:szCs w:val="20"/>
          <w:lang w:val="fr-FR" w:eastAsia="nl-BE"/>
        </w:rPr>
        <w:t xml:space="preserve">seulement </w:t>
      </w:r>
      <w:r w:rsidRPr="00C57D79">
        <w:rPr>
          <w:rFonts w:ascii="Verdana" w:eastAsia="Times New Roman" w:hAnsi="Verdana" w:cs="Plantin MT Std"/>
          <w:sz w:val="20"/>
          <w:szCs w:val="20"/>
          <w:lang w:val="fr-FR" w:eastAsia="nl-BE"/>
        </w:rPr>
        <w:t>un seul avis du Conseil Supérieur de la Santé n° 8519 du 4 février 2009. Cet avis a été émis à la demande de la Ministre fédérale de la Santé publique, La</w:t>
      </w:r>
      <w:r w:rsidRPr="00C57D79">
        <w:rPr>
          <w:rFonts w:ascii="Verdana" w:eastAsia="Times New Roman" w:hAnsi="Verdana" w:cs="Plantin MT Std"/>
          <w:sz w:val="20"/>
          <w:szCs w:val="20"/>
          <w:lang w:val="fr-FR" w:eastAsia="nl-BE"/>
        </w:rPr>
        <w:t>u</w:t>
      </w:r>
      <w:r w:rsidRPr="00C57D79">
        <w:rPr>
          <w:rFonts w:ascii="Verdana" w:eastAsia="Times New Roman" w:hAnsi="Verdana" w:cs="Plantin MT Std"/>
          <w:sz w:val="20"/>
          <w:szCs w:val="20"/>
          <w:lang w:val="fr-FR" w:eastAsia="nl-BE"/>
        </w:rPr>
        <w:t xml:space="preserve">rette Onkelinx, et ne répond donc pas à une demande du ministre flamand. De plus, cet avis date de 2009 et les normes du décret de 2011 n'ont donc pas été soumis à l'avis. En tout cas, il n'existe aucun document montrant que les normes de 2011 ont également tenu compte des conseils de 2009.  </w:t>
      </w:r>
    </w:p>
    <w:p w14:paraId="74C3A1FF"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102ABA23"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In casu, nous ne disposons donc d’aucune preuve de l’existence d’un avis ou qu’un avis ait été demandé.</w:t>
      </w:r>
    </w:p>
    <w:p w14:paraId="523385FD"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1DA81A5F"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Par conséquent, les règles du chapitre 6.10 et suivantes Vlarem II doivent être ignorées, conformément à l'article 159 de la Constitution. Cela nécessite donc une évaluation co</w:t>
      </w:r>
      <w:r w:rsidRPr="00C57D79">
        <w:rPr>
          <w:rFonts w:ascii="Verdana" w:eastAsia="Times New Roman" w:hAnsi="Verdana" w:cs="Plantin MT Std"/>
          <w:sz w:val="20"/>
          <w:szCs w:val="20"/>
          <w:lang w:val="fr-FR" w:eastAsia="nl-BE"/>
        </w:rPr>
        <w:t>n</w:t>
      </w:r>
      <w:r w:rsidRPr="00C57D79">
        <w:rPr>
          <w:rFonts w:ascii="Verdana" w:eastAsia="Times New Roman" w:hAnsi="Verdana" w:cs="Plantin MT Std"/>
          <w:sz w:val="20"/>
          <w:szCs w:val="20"/>
          <w:lang w:val="fr-FR" w:eastAsia="nl-BE"/>
        </w:rPr>
        <w:t xml:space="preserve">crète par le défendeur des risques pour la santé. </w:t>
      </w:r>
    </w:p>
    <w:p w14:paraId="550871B9"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3FFF9D6D"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17.</w:t>
      </w:r>
    </w:p>
    <w:p w14:paraId="4C47228F"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L'avis du Conseil Supérieur de la Santé n'est pas une formalité mais un avis utile et n</w:t>
      </w:r>
      <w:r w:rsidRPr="00C57D79">
        <w:rPr>
          <w:rFonts w:ascii="Verdana" w:eastAsia="Times New Roman" w:hAnsi="Verdana" w:cs="Plantin MT Std"/>
          <w:sz w:val="20"/>
          <w:szCs w:val="20"/>
          <w:lang w:val="fr-FR" w:eastAsia="nl-BE"/>
        </w:rPr>
        <w:t>é</w:t>
      </w:r>
      <w:r w:rsidRPr="00C57D79">
        <w:rPr>
          <w:rFonts w:ascii="Verdana" w:eastAsia="Times New Roman" w:hAnsi="Verdana" w:cs="Plantin MT Std"/>
          <w:sz w:val="20"/>
          <w:szCs w:val="20"/>
          <w:lang w:val="fr-FR" w:eastAsia="nl-BE"/>
        </w:rPr>
        <w:t>cessaire.</w:t>
      </w:r>
    </w:p>
    <w:p w14:paraId="6005981F"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78ED5A94" w14:textId="6D5EB838"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 xml:space="preserve">Un </w:t>
      </w:r>
      <w:r w:rsidRPr="0087021D">
        <w:rPr>
          <w:rFonts w:ascii="Verdana" w:eastAsia="Times New Roman" w:hAnsi="Verdana" w:cs="Plantin MT Std"/>
          <w:sz w:val="20"/>
          <w:szCs w:val="20"/>
          <w:u w:val="single"/>
          <w:lang w:val="fr-FR" w:eastAsia="nl-BE"/>
        </w:rPr>
        <w:t>récent rapport du Conseil Supérieur de la Santé</w:t>
      </w:r>
      <w:r w:rsidRPr="00C57D79">
        <w:rPr>
          <w:rFonts w:ascii="Verdana" w:eastAsia="Times New Roman" w:hAnsi="Verdana" w:cs="Plantin MT Std"/>
          <w:sz w:val="20"/>
          <w:szCs w:val="20"/>
          <w:lang w:val="fr-FR" w:eastAsia="nl-BE"/>
        </w:rPr>
        <w:t xml:space="preserve"> recommande également de limiter l'exposition :</w:t>
      </w:r>
      <w:r w:rsidR="00281FD3">
        <w:rPr>
          <w:rFonts w:ascii="Verdana" w:eastAsia="Times New Roman" w:hAnsi="Verdana" w:cs="Plantin MT Std"/>
          <w:sz w:val="20"/>
          <w:szCs w:val="20"/>
          <w:lang w:val="fr-FR" w:eastAsia="nl-BE"/>
        </w:rPr>
        <w:t xml:space="preserve"> </w:t>
      </w:r>
      <w:r w:rsidRPr="00C57D79">
        <w:rPr>
          <w:rFonts w:ascii="Verdana" w:eastAsia="Times New Roman" w:hAnsi="Verdana" w:cs="Plantin MT Std"/>
          <w:sz w:val="20"/>
          <w:szCs w:val="20"/>
          <w:lang w:val="fr-FR" w:eastAsia="nl-BE"/>
        </w:rPr>
        <w:t xml:space="preserve"> " </w:t>
      </w:r>
      <w:r w:rsidRPr="0087021D">
        <w:rPr>
          <w:rFonts w:ascii="Verdana" w:eastAsia="Times New Roman" w:hAnsi="Verdana" w:cs="Plantin MT Std"/>
          <w:i/>
          <w:iCs/>
          <w:sz w:val="20"/>
          <w:szCs w:val="20"/>
          <w:lang w:val="fr-FR" w:eastAsia="nl-BE"/>
        </w:rPr>
        <w:t>(...) ; limiter l'utilisation des téléphones portables placés contre la tête ou des téléphones sans fil</w:t>
      </w:r>
      <w:r w:rsidRPr="00C57D79">
        <w:rPr>
          <w:rFonts w:ascii="Verdana" w:eastAsia="Times New Roman" w:hAnsi="Verdana" w:cs="Plantin MT Std"/>
          <w:sz w:val="20"/>
          <w:szCs w:val="20"/>
          <w:lang w:val="fr-FR" w:eastAsia="nl-BE"/>
        </w:rPr>
        <w:t xml:space="preserve"> " (Conseil Supérieur de la Santé. Hygiène environnementale ph</w:t>
      </w:r>
      <w:r w:rsidRPr="00C57D79">
        <w:rPr>
          <w:rFonts w:ascii="Verdana" w:eastAsia="Times New Roman" w:hAnsi="Verdana" w:cs="Plantin MT Std"/>
          <w:sz w:val="20"/>
          <w:szCs w:val="20"/>
          <w:lang w:val="fr-FR" w:eastAsia="nl-BE"/>
        </w:rPr>
        <w:t>y</w:t>
      </w:r>
      <w:r w:rsidRPr="00C57D79">
        <w:rPr>
          <w:rFonts w:ascii="Verdana" w:eastAsia="Times New Roman" w:hAnsi="Verdana" w:cs="Plantin MT Std"/>
          <w:sz w:val="20"/>
          <w:szCs w:val="20"/>
          <w:lang w:val="fr-FR" w:eastAsia="nl-BE"/>
        </w:rPr>
        <w:t>sico-chimique (limitation de l'exposition aux agents mutagènes ou perturbateurs endocr</w:t>
      </w:r>
      <w:r w:rsidRPr="00C57D79">
        <w:rPr>
          <w:rFonts w:ascii="Verdana" w:eastAsia="Times New Roman" w:hAnsi="Verdana" w:cs="Plantin MT Std"/>
          <w:sz w:val="20"/>
          <w:szCs w:val="20"/>
          <w:lang w:val="fr-FR" w:eastAsia="nl-BE"/>
        </w:rPr>
        <w:t>i</w:t>
      </w:r>
      <w:r w:rsidRPr="00C57D79">
        <w:rPr>
          <w:rFonts w:ascii="Verdana" w:eastAsia="Times New Roman" w:hAnsi="Verdana" w:cs="Plantin MT Std"/>
          <w:sz w:val="20"/>
          <w:szCs w:val="20"/>
          <w:lang w:val="fr-FR" w:eastAsia="nl-BE"/>
        </w:rPr>
        <w:t>niens) et importance de l'exposition dès le plus jeune âge (avis n° 9404), Bruxelles, CSS, 2019, p 36).</w:t>
      </w:r>
    </w:p>
    <w:p w14:paraId="44B8CA63"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00392417"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r w:rsidRPr="00C57D79">
        <w:rPr>
          <w:rFonts w:ascii="Verdana" w:eastAsia="Times New Roman" w:hAnsi="Verdana" w:cs="Plantin MT Std"/>
          <w:sz w:val="20"/>
          <w:szCs w:val="20"/>
          <w:lang w:val="fr-FR" w:eastAsia="nl-BE"/>
        </w:rPr>
        <w:t>Dans son rapport, le Conseil supérieur de la santé recommande aux individus de se pr</w:t>
      </w:r>
      <w:r w:rsidRPr="00C57D79">
        <w:rPr>
          <w:rFonts w:ascii="Verdana" w:eastAsia="Times New Roman" w:hAnsi="Verdana" w:cs="Plantin MT Std"/>
          <w:sz w:val="20"/>
          <w:szCs w:val="20"/>
          <w:lang w:val="fr-FR" w:eastAsia="nl-BE"/>
        </w:rPr>
        <w:t>o</w:t>
      </w:r>
      <w:r w:rsidRPr="00C57D79">
        <w:rPr>
          <w:rFonts w:ascii="Verdana" w:eastAsia="Times New Roman" w:hAnsi="Verdana" w:cs="Plantin MT Std"/>
          <w:sz w:val="20"/>
          <w:szCs w:val="20"/>
          <w:lang w:val="fr-FR" w:eastAsia="nl-BE"/>
        </w:rPr>
        <w:t>téger sur la base des connaissances disponibles :</w:t>
      </w:r>
    </w:p>
    <w:p w14:paraId="2B2A3DF4" w14:textId="77777777" w:rsidR="00C57D79" w:rsidRPr="0087021D" w:rsidRDefault="00C57D79" w:rsidP="00281FD3">
      <w:pPr>
        <w:spacing w:after="0" w:line="20" w:lineRule="atLeast"/>
        <w:ind w:left="708"/>
        <w:jc w:val="both"/>
        <w:rPr>
          <w:rFonts w:ascii="Verdana" w:eastAsia="Times New Roman" w:hAnsi="Verdana" w:cs="Plantin MT Std"/>
          <w:i/>
          <w:iCs/>
          <w:sz w:val="20"/>
          <w:szCs w:val="20"/>
          <w:lang w:val="fr-FR" w:eastAsia="nl-BE"/>
        </w:rPr>
      </w:pPr>
      <w:r w:rsidRPr="0087021D">
        <w:rPr>
          <w:rFonts w:ascii="Verdana" w:eastAsia="Times New Roman" w:hAnsi="Verdana" w:cs="Plantin MT Std"/>
          <w:i/>
          <w:iCs/>
          <w:sz w:val="20"/>
          <w:szCs w:val="20"/>
          <w:lang w:val="fr-FR" w:eastAsia="nl-BE"/>
        </w:rPr>
        <w:t>"Une personne souhaitant se protéger et, principalement pour les femmes, prot</w:t>
      </w:r>
      <w:r w:rsidRPr="0087021D">
        <w:rPr>
          <w:rFonts w:ascii="Verdana" w:eastAsia="Times New Roman" w:hAnsi="Verdana" w:cs="Plantin MT Std"/>
          <w:i/>
          <w:iCs/>
          <w:sz w:val="20"/>
          <w:szCs w:val="20"/>
          <w:lang w:val="fr-FR" w:eastAsia="nl-BE"/>
        </w:rPr>
        <w:t>é</w:t>
      </w:r>
      <w:r w:rsidRPr="0087021D">
        <w:rPr>
          <w:rFonts w:ascii="Verdana" w:eastAsia="Times New Roman" w:hAnsi="Verdana" w:cs="Plantin MT Std"/>
          <w:i/>
          <w:iCs/>
          <w:sz w:val="20"/>
          <w:szCs w:val="20"/>
          <w:lang w:val="fr-FR" w:eastAsia="nl-BE"/>
        </w:rPr>
        <w:t>ger ses descendants, doit envisager une série de mesures (tableau 1) relatives aux aspects suivants : :</w:t>
      </w:r>
    </w:p>
    <w:p w14:paraId="0E978AF1" w14:textId="77777777" w:rsidR="00C57D79" w:rsidRPr="0087021D" w:rsidRDefault="00C57D79" w:rsidP="00281FD3">
      <w:pPr>
        <w:spacing w:after="0" w:line="20" w:lineRule="atLeast"/>
        <w:ind w:left="708"/>
        <w:jc w:val="both"/>
        <w:rPr>
          <w:rFonts w:ascii="Verdana" w:eastAsia="Times New Roman" w:hAnsi="Verdana" w:cs="Plantin MT Std"/>
          <w:i/>
          <w:iCs/>
          <w:sz w:val="20"/>
          <w:szCs w:val="20"/>
          <w:lang w:val="fr-FR" w:eastAsia="nl-BE"/>
        </w:rPr>
      </w:pPr>
      <w:r w:rsidRPr="0087021D">
        <w:rPr>
          <w:rFonts w:ascii="Verdana" w:eastAsia="Times New Roman" w:hAnsi="Verdana" w:cs="Plantin MT Std"/>
          <w:i/>
          <w:iCs/>
          <w:sz w:val="20"/>
          <w:szCs w:val="20"/>
          <w:lang w:val="fr-FR" w:eastAsia="nl-BE"/>
        </w:rPr>
        <w:t>"...</w:t>
      </w:r>
    </w:p>
    <w:p w14:paraId="66BA047C" w14:textId="77777777" w:rsidR="00C57D79" w:rsidRPr="0087021D" w:rsidRDefault="00C57D79" w:rsidP="00281FD3">
      <w:pPr>
        <w:spacing w:after="0" w:line="20" w:lineRule="atLeast"/>
        <w:ind w:left="708"/>
        <w:jc w:val="both"/>
        <w:rPr>
          <w:rFonts w:ascii="Verdana" w:eastAsia="Times New Roman" w:hAnsi="Verdana" w:cs="Plantin MT Std"/>
          <w:i/>
          <w:iCs/>
          <w:sz w:val="20"/>
          <w:szCs w:val="20"/>
          <w:lang w:val="fr-FR" w:eastAsia="nl-BE"/>
        </w:rPr>
      </w:pPr>
      <w:r w:rsidRPr="0087021D">
        <w:rPr>
          <w:rFonts w:ascii="Verdana" w:eastAsia="Times New Roman" w:hAnsi="Verdana" w:cs="Plantin MT Std"/>
          <w:i/>
          <w:iCs/>
          <w:sz w:val="20"/>
          <w:szCs w:val="20"/>
          <w:lang w:val="fr-FR" w:eastAsia="nl-BE"/>
        </w:rPr>
        <w:t>Exposition aux rayonnements non ionisants liés aux lignes électriques, à la co</w:t>
      </w:r>
      <w:r w:rsidRPr="0087021D">
        <w:rPr>
          <w:rFonts w:ascii="Verdana" w:eastAsia="Times New Roman" w:hAnsi="Verdana" w:cs="Plantin MT Std"/>
          <w:i/>
          <w:iCs/>
          <w:sz w:val="20"/>
          <w:szCs w:val="20"/>
          <w:lang w:val="fr-FR" w:eastAsia="nl-BE"/>
        </w:rPr>
        <w:t>m</w:t>
      </w:r>
      <w:r w:rsidRPr="0087021D">
        <w:rPr>
          <w:rFonts w:ascii="Verdana" w:eastAsia="Times New Roman" w:hAnsi="Verdana" w:cs="Plantin MT Std"/>
          <w:i/>
          <w:iCs/>
          <w:sz w:val="20"/>
          <w:szCs w:val="20"/>
          <w:lang w:val="fr-FR" w:eastAsia="nl-BE"/>
        </w:rPr>
        <w:t xml:space="preserve">munication et à l’électronique. </w:t>
      </w:r>
    </w:p>
    <w:p w14:paraId="094AE716" w14:textId="77777777" w:rsidR="00C57D79" w:rsidRPr="0087021D" w:rsidRDefault="00C57D79" w:rsidP="00281FD3">
      <w:pPr>
        <w:spacing w:after="0" w:line="20" w:lineRule="atLeast"/>
        <w:ind w:left="708"/>
        <w:jc w:val="both"/>
        <w:rPr>
          <w:rFonts w:ascii="Verdana" w:eastAsia="Times New Roman" w:hAnsi="Verdana" w:cs="Plantin MT Std"/>
          <w:i/>
          <w:iCs/>
          <w:sz w:val="20"/>
          <w:szCs w:val="20"/>
          <w:lang w:val="fr-FR" w:eastAsia="nl-BE"/>
        </w:rPr>
      </w:pPr>
      <w:r w:rsidRPr="0087021D">
        <w:rPr>
          <w:rFonts w:ascii="Verdana" w:eastAsia="Times New Roman" w:hAnsi="Verdana" w:cs="Plantin MT Std"/>
          <w:i/>
          <w:iCs/>
          <w:sz w:val="20"/>
          <w:szCs w:val="20"/>
          <w:lang w:val="fr-FR" w:eastAsia="nl-BE"/>
        </w:rPr>
        <w:t xml:space="preserve">(... ) </w:t>
      </w:r>
    </w:p>
    <w:p w14:paraId="198FE8E6" w14:textId="6D3CDD10" w:rsidR="00C57D79" w:rsidRDefault="00C57D79" w:rsidP="00281FD3">
      <w:pPr>
        <w:spacing w:after="0" w:line="20" w:lineRule="atLeast"/>
        <w:ind w:left="708"/>
        <w:jc w:val="both"/>
        <w:rPr>
          <w:rFonts w:ascii="Verdana" w:eastAsia="Times New Roman" w:hAnsi="Verdana" w:cs="Plantin MT Std"/>
          <w:i/>
          <w:iCs/>
          <w:sz w:val="20"/>
          <w:szCs w:val="20"/>
          <w:lang w:val="fr-FR" w:eastAsia="nl-BE"/>
        </w:rPr>
      </w:pPr>
      <w:r w:rsidRPr="0087021D">
        <w:rPr>
          <w:rFonts w:ascii="Verdana" w:eastAsia="Times New Roman" w:hAnsi="Verdana" w:cs="Plantin MT Std"/>
          <w:i/>
          <w:iCs/>
          <w:sz w:val="20"/>
          <w:szCs w:val="20"/>
          <w:lang w:val="fr-FR" w:eastAsia="nl-BE"/>
        </w:rPr>
        <w:t>Il a été montré que les rayonnements non ionisants émis par les micro-ondes agissent via activation des canaux calciques dépendants du voltage, induisant des impacts biologiques à des niveaux non thermiques (Anghileri et al., 2006 ; Pall et al., 2015). L’exposition maternelle aux champs électromagnétiques des fr</w:t>
      </w:r>
      <w:r w:rsidRPr="0087021D">
        <w:rPr>
          <w:rFonts w:ascii="Verdana" w:eastAsia="Times New Roman" w:hAnsi="Verdana" w:cs="Plantin MT Std"/>
          <w:i/>
          <w:iCs/>
          <w:sz w:val="20"/>
          <w:szCs w:val="20"/>
          <w:lang w:val="fr-FR" w:eastAsia="nl-BE"/>
        </w:rPr>
        <w:t>é</w:t>
      </w:r>
      <w:r w:rsidRPr="0087021D">
        <w:rPr>
          <w:rFonts w:ascii="Verdana" w:eastAsia="Times New Roman" w:hAnsi="Verdana" w:cs="Plantin MT Std"/>
          <w:i/>
          <w:iCs/>
          <w:sz w:val="20"/>
          <w:szCs w:val="20"/>
          <w:lang w:val="fr-FR" w:eastAsia="nl-BE"/>
        </w:rPr>
        <w:t>quences utilisées par les téléphones mobiles a été associée à des troubles du comportement et du langage chez l’enfant (Birks et al., 2017 ; Zarei et al., 2015). L’utilisation de téléphones mobiles et de téléphones sans fil a été observée comme étant associée à un risque accru de gliome et de neurinome de l’acoustique (Ha</w:t>
      </w:r>
      <w:r w:rsidRPr="0087021D">
        <w:rPr>
          <w:rFonts w:ascii="Verdana" w:eastAsia="Times New Roman" w:hAnsi="Verdana" w:cs="Plantin MT Std"/>
          <w:i/>
          <w:iCs/>
          <w:sz w:val="20"/>
          <w:szCs w:val="20"/>
          <w:lang w:val="fr-FR" w:eastAsia="nl-BE"/>
        </w:rPr>
        <w:t>r</w:t>
      </w:r>
      <w:r w:rsidRPr="0087021D">
        <w:rPr>
          <w:rFonts w:ascii="Verdana" w:eastAsia="Times New Roman" w:hAnsi="Verdana" w:cs="Plantin MT Std"/>
          <w:i/>
          <w:iCs/>
          <w:sz w:val="20"/>
          <w:szCs w:val="20"/>
          <w:lang w:val="fr-FR" w:eastAsia="nl-BE"/>
        </w:rPr>
        <w:t>dell et al., 2013). Selon Levis et al. (2011), des protocoles en aveugle, exempts d’erreurs, de biais et de facteurs de conditionnement financiers, donnent des r</w:t>
      </w:r>
      <w:r w:rsidRPr="0087021D">
        <w:rPr>
          <w:rFonts w:ascii="Verdana" w:eastAsia="Times New Roman" w:hAnsi="Verdana" w:cs="Plantin MT Std"/>
          <w:i/>
          <w:iCs/>
          <w:sz w:val="20"/>
          <w:szCs w:val="20"/>
          <w:lang w:val="fr-FR" w:eastAsia="nl-BE"/>
        </w:rPr>
        <w:t>é</w:t>
      </w:r>
      <w:r w:rsidRPr="0087021D">
        <w:rPr>
          <w:rFonts w:ascii="Verdana" w:eastAsia="Times New Roman" w:hAnsi="Verdana" w:cs="Plantin MT Std"/>
          <w:i/>
          <w:iCs/>
          <w:sz w:val="20"/>
          <w:szCs w:val="20"/>
          <w:lang w:val="fr-FR" w:eastAsia="nl-BE"/>
        </w:rPr>
        <w:t>sultats positifs qui révèlent une relation de cause à effet entre l’utilisation ou la l</w:t>
      </w:r>
      <w:r w:rsidRPr="0087021D">
        <w:rPr>
          <w:rFonts w:ascii="Verdana" w:eastAsia="Times New Roman" w:hAnsi="Verdana" w:cs="Plantin MT Std"/>
          <w:i/>
          <w:iCs/>
          <w:sz w:val="20"/>
          <w:szCs w:val="20"/>
          <w:lang w:val="fr-FR" w:eastAsia="nl-BE"/>
        </w:rPr>
        <w:t>a</w:t>
      </w:r>
      <w:r w:rsidRPr="0087021D">
        <w:rPr>
          <w:rFonts w:ascii="Verdana" w:eastAsia="Times New Roman" w:hAnsi="Verdana" w:cs="Plantin MT Std"/>
          <w:i/>
          <w:iCs/>
          <w:sz w:val="20"/>
          <w:szCs w:val="20"/>
          <w:lang w:val="fr-FR" w:eastAsia="nl-BE"/>
        </w:rPr>
        <w:t>tence du téléphone mobile à long terme et l’augmentation statistiquement signif</w:t>
      </w:r>
      <w:r w:rsidRPr="0087021D">
        <w:rPr>
          <w:rFonts w:ascii="Verdana" w:eastAsia="Times New Roman" w:hAnsi="Verdana" w:cs="Plantin MT Std"/>
          <w:i/>
          <w:iCs/>
          <w:sz w:val="20"/>
          <w:szCs w:val="20"/>
          <w:lang w:val="fr-FR" w:eastAsia="nl-BE"/>
        </w:rPr>
        <w:t>i</w:t>
      </w:r>
      <w:r w:rsidRPr="0087021D">
        <w:rPr>
          <w:rFonts w:ascii="Verdana" w:eastAsia="Times New Roman" w:hAnsi="Verdana" w:cs="Plantin MT Std"/>
          <w:i/>
          <w:iCs/>
          <w:sz w:val="20"/>
          <w:szCs w:val="20"/>
          <w:lang w:val="fr-FR" w:eastAsia="nl-BE"/>
        </w:rPr>
        <w:t>cative du risque de tumeur de la tête homolatérale, avec une plausibilité biol</w:t>
      </w:r>
      <w:r w:rsidRPr="0087021D">
        <w:rPr>
          <w:rFonts w:ascii="Verdana" w:eastAsia="Times New Roman" w:hAnsi="Verdana" w:cs="Plantin MT Std"/>
          <w:i/>
          <w:iCs/>
          <w:sz w:val="20"/>
          <w:szCs w:val="20"/>
          <w:lang w:val="fr-FR" w:eastAsia="nl-BE"/>
        </w:rPr>
        <w:t>o</w:t>
      </w:r>
      <w:r w:rsidRPr="0087021D">
        <w:rPr>
          <w:rFonts w:ascii="Verdana" w:eastAsia="Times New Roman" w:hAnsi="Verdana" w:cs="Plantin MT Std"/>
          <w:i/>
          <w:iCs/>
          <w:sz w:val="20"/>
          <w:szCs w:val="20"/>
          <w:lang w:val="fr-FR" w:eastAsia="nl-BE"/>
        </w:rPr>
        <w:t>gique. Les méta-analyses (y compris celle de Levis et al., 2011), n’examinant que les données sur les tumeurs homolatérales chez les sujets utilisant un téléphone mobile depuis ou pendant au moins 10 ans, montrent des augmentations impo</w:t>
      </w:r>
      <w:r w:rsidRPr="0087021D">
        <w:rPr>
          <w:rFonts w:ascii="Verdana" w:eastAsia="Times New Roman" w:hAnsi="Verdana" w:cs="Plantin MT Std"/>
          <w:i/>
          <w:iCs/>
          <w:sz w:val="20"/>
          <w:szCs w:val="20"/>
          <w:lang w:val="fr-FR" w:eastAsia="nl-BE"/>
        </w:rPr>
        <w:t>r</w:t>
      </w:r>
      <w:r w:rsidRPr="0087021D">
        <w:rPr>
          <w:rFonts w:ascii="Verdana" w:eastAsia="Times New Roman" w:hAnsi="Verdana" w:cs="Plantin MT Std"/>
          <w:i/>
          <w:iCs/>
          <w:sz w:val="20"/>
          <w:szCs w:val="20"/>
          <w:lang w:val="fr-FR" w:eastAsia="nl-BE"/>
        </w:rPr>
        <w:t>tantes et statistiquement significatives du risque de gliomes cérébraux et de ne</w:t>
      </w:r>
      <w:r w:rsidRPr="0087021D">
        <w:rPr>
          <w:rFonts w:ascii="Verdana" w:eastAsia="Times New Roman" w:hAnsi="Verdana" w:cs="Plantin MT Std"/>
          <w:i/>
          <w:iCs/>
          <w:sz w:val="20"/>
          <w:szCs w:val="20"/>
          <w:lang w:val="fr-FR" w:eastAsia="nl-BE"/>
        </w:rPr>
        <w:t>u</w:t>
      </w:r>
      <w:r w:rsidRPr="0087021D">
        <w:rPr>
          <w:rFonts w:ascii="Verdana" w:eastAsia="Times New Roman" w:hAnsi="Verdana" w:cs="Plantin MT Std"/>
          <w:i/>
          <w:iCs/>
          <w:sz w:val="20"/>
          <w:szCs w:val="20"/>
          <w:lang w:val="fr-FR" w:eastAsia="nl-BE"/>
        </w:rPr>
        <w:t>rinomes de l’acoustique homolatéraux (Levis et al., 2011).</w:t>
      </w:r>
    </w:p>
    <w:p w14:paraId="52F9A054" w14:textId="42453FF6" w:rsidR="0087021D" w:rsidRPr="0087021D" w:rsidRDefault="0087021D" w:rsidP="00281FD3">
      <w:pPr>
        <w:spacing w:after="0" w:line="20" w:lineRule="atLeast"/>
        <w:ind w:left="708"/>
        <w:jc w:val="both"/>
        <w:rPr>
          <w:rFonts w:ascii="Verdana" w:eastAsia="Times New Roman" w:hAnsi="Verdana" w:cs="Plantin MT Std"/>
          <w:i/>
          <w:iCs/>
          <w:sz w:val="20"/>
          <w:szCs w:val="20"/>
          <w:lang w:val="fr-FR" w:eastAsia="nl-BE"/>
        </w:rPr>
      </w:pPr>
      <w:r>
        <w:rPr>
          <w:rFonts w:ascii="Verdana" w:eastAsia="Times New Roman" w:hAnsi="Verdana" w:cs="Plantin MT Std"/>
          <w:i/>
          <w:iCs/>
          <w:sz w:val="20"/>
          <w:szCs w:val="20"/>
          <w:lang w:val="fr-FR" w:eastAsia="nl-BE"/>
        </w:rPr>
        <w:t>…</w:t>
      </w:r>
      <w:r w:rsidRPr="0087021D">
        <w:rPr>
          <w:rFonts w:ascii="Verdana" w:eastAsia="Times New Roman" w:hAnsi="Verdana" w:cs="Plantin MT Std"/>
          <w:i/>
          <w:iCs/>
          <w:sz w:val="20"/>
          <w:szCs w:val="20"/>
          <w:lang w:val="fr-FR" w:eastAsia="nl-BE"/>
        </w:rPr>
        <w:t>"</w:t>
      </w:r>
    </w:p>
    <w:p w14:paraId="40E671FB" w14:textId="77777777" w:rsidR="00C57D79" w:rsidRPr="00C57D79" w:rsidRDefault="00C57D79" w:rsidP="00C03246">
      <w:pPr>
        <w:spacing w:after="0" w:line="20" w:lineRule="atLeast"/>
        <w:jc w:val="both"/>
        <w:rPr>
          <w:rFonts w:ascii="Verdana" w:eastAsia="Times New Roman" w:hAnsi="Verdana" w:cs="Plantin MT Std"/>
          <w:sz w:val="20"/>
          <w:szCs w:val="20"/>
          <w:lang w:val="fr-FR" w:eastAsia="nl-BE"/>
        </w:rPr>
      </w:pPr>
    </w:p>
    <w:p w14:paraId="3715633A" w14:textId="63AF8D63" w:rsidR="00BA508C" w:rsidRPr="00FC791F" w:rsidRDefault="00C57D79" w:rsidP="00C03246">
      <w:pPr>
        <w:spacing w:after="0" w:line="20" w:lineRule="atLeast"/>
        <w:jc w:val="both"/>
        <w:rPr>
          <w:rFonts w:ascii="Verdana" w:hAnsi="Verdana"/>
          <w:sz w:val="20"/>
          <w:szCs w:val="20"/>
          <w:lang w:val="fr-FR"/>
        </w:rPr>
      </w:pPr>
      <w:r w:rsidRPr="00C57D79">
        <w:rPr>
          <w:rFonts w:ascii="Verdana" w:eastAsia="Times New Roman" w:hAnsi="Verdana" w:cs="Plantin MT Std"/>
          <w:sz w:val="20"/>
          <w:szCs w:val="20"/>
          <w:lang w:val="fr-FR" w:eastAsia="nl-BE"/>
        </w:rPr>
        <w:t xml:space="preserve">Outre la responsabilité de chacun en matière d'exposition aux technologies sans fil, les êtres humains, les plantes et les animaux sont également exposés, sans choix préalable, aux rayonnements environnementaux au niveau individuel et familial par le biais des </w:t>
      </w:r>
      <w:r w:rsidRPr="00C57D79">
        <w:rPr>
          <w:rFonts w:ascii="Verdana" w:eastAsia="Times New Roman" w:hAnsi="Verdana" w:cs="Plantin MT Std"/>
          <w:sz w:val="20"/>
          <w:szCs w:val="20"/>
          <w:lang w:val="fr-FR" w:eastAsia="nl-BE"/>
        </w:rPr>
        <w:lastRenderedPageBreak/>
        <w:t>technologies telles que la 2G, la 3G, la 4G, le Wifi et bientôt aussi la 5G et les nouvelles générations de technologies électromagnétiques de haute fréquence.</w:t>
      </w:r>
    </w:p>
    <w:p w14:paraId="73DA488F" w14:textId="77777777" w:rsidR="000D75F4" w:rsidRPr="00FC791F" w:rsidRDefault="000D75F4" w:rsidP="00C03246">
      <w:pPr>
        <w:spacing w:after="0" w:line="20" w:lineRule="atLeast"/>
        <w:jc w:val="both"/>
        <w:rPr>
          <w:rFonts w:ascii="Verdana" w:hAnsi="Verdana"/>
          <w:sz w:val="20"/>
          <w:szCs w:val="20"/>
          <w:lang w:val="fr-FR"/>
        </w:rPr>
      </w:pPr>
    </w:p>
    <w:p w14:paraId="367FDAE9" w14:textId="426C3AB5" w:rsidR="00CC05F2" w:rsidRPr="00FC791F" w:rsidRDefault="00BA508C" w:rsidP="00C03246">
      <w:pPr>
        <w:spacing w:after="0" w:line="20" w:lineRule="atLeast"/>
        <w:jc w:val="both"/>
        <w:rPr>
          <w:rFonts w:ascii="Verdana" w:hAnsi="Verdana"/>
          <w:b/>
          <w:bCs/>
          <w:sz w:val="20"/>
          <w:szCs w:val="20"/>
          <w:u w:val="single"/>
          <w:lang w:val="fr-FR"/>
        </w:rPr>
      </w:pPr>
      <w:r w:rsidRPr="00FC791F">
        <w:rPr>
          <w:rFonts w:ascii="Verdana" w:hAnsi="Verdana"/>
          <w:b/>
          <w:bCs/>
          <w:sz w:val="20"/>
          <w:szCs w:val="20"/>
          <w:u w:val="single"/>
          <w:lang w:val="fr-FR"/>
        </w:rPr>
        <w:t>C</w:t>
      </w:r>
      <w:r w:rsidR="00CC05F2" w:rsidRPr="00FC791F">
        <w:rPr>
          <w:rFonts w:ascii="Verdana" w:hAnsi="Verdana"/>
          <w:b/>
          <w:bCs/>
          <w:sz w:val="20"/>
          <w:szCs w:val="20"/>
          <w:u w:val="single"/>
          <w:lang w:val="fr-FR"/>
        </w:rPr>
        <w:t xml:space="preserve">. </w:t>
      </w:r>
      <w:r w:rsidR="00C6383B" w:rsidRPr="00FC791F">
        <w:rPr>
          <w:rFonts w:ascii="Verdana" w:hAnsi="Verdana"/>
          <w:b/>
          <w:bCs/>
          <w:sz w:val="20"/>
          <w:szCs w:val="20"/>
          <w:u w:val="single"/>
          <w:lang w:val="fr-FR"/>
        </w:rPr>
        <w:t xml:space="preserve">AUTRES </w:t>
      </w:r>
      <w:r w:rsidR="00CC05F2" w:rsidRPr="00FC791F">
        <w:rPr>
          <w:rFonts w:ascii="Verdana" w:hAnsi="Verdana"/>
          <w:b/>
          <w:bCs/>
          <w:sz w:val="20"/>
          <w:szCs w:val="20"/>
          <w:u w:val="single"/>
          <w:lang w:val="fr-FR"/>
        </w:rPr>
        <w:t>NORMES JURIDIQUES</w:t>
      </w:r>
    </w:p>
    <w:p w14:paraId="05F63784" w14:textId="77777777" w:rsidR="0087021D" w:rsidRDefault="0087021D" w:rsidP="00C03246">
      <w:pPr>
        <w:pStyle w:val="Sansinterligne"/>
        <w:spacing w:line="20" w:lineRule="atLeast"/>
        <w:jc w:val="both"/>
        <w:rPr>
          <w:rFonts w:ascii="Verdana" w:hAnsi="Verdana"/>
          <w:sz w:val="20"/>
          <w:szCs w:val="20"/>
          <w:lang w:val="fr-FR"/>
        </w:rPr>
      </w:pPr>
    </w:p>
    <w:p w14:paraId="7732250F" w14:textId="77777777" w:rsidR="0087021D" w:rsidRP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18.</w:t>
      </w:r>
    </w:p>
    <w:p w14:paraId="59C4B213" w14:textId="77777777" w:rsidR="0087021D" w:rsidRP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Article 23, paragraphe 3, 4° de la Constitution prévoit ce qui suit :</w:t>
      </w:r>
    </w:p>
    <w:p w14:paraId="69F06608" w14:textId="77777777" w:rsidR="0087021D" w:rsidRPr="0087021D" w:rsidRDefault="0087021D" w:rsidP="00C03246">
      <w:pPr>
        <w:pStyle w:val="Sansinterligne"/>
        <w:spacing w:line="20" w:lineRule="atLeast"/>
        <w:jc w:val="both"/>
        <w:rPr>
          <w:rFonts w:ascii="Verdana" w:hAnsi="Verdana"/>
          <w:sz w:val="20"/>
          <w:szCs w:val="20"/>
          <w:lang w:val="fr-FR"/>
        </w:rPr>
      </w:pPr>
    </w:p>
    <w:p w14:paraId="468726A9" w14:textId="77777777" w:rsidR="0087021D" w:rsidRPr="0087021D" w:rsidRDefault="0087021D" w:rsidP="00281FD3">
      <w:pPr>
        <w:pStyle w:val="Sansinterligne"/>
        <w:spacing w:line="20" w:lineRule="atLeast"/>
        <w:ind w:left="708"/>
        <w:jc w:val="both"/>
        <w:rPr>
          <w:rFonts w:ascii="Verdana" w:hAnsi="Verdana"/>
          <w:sz w:val="20"/>
          <w:szCs w:val="20"/>
          <w:lang w:val="fr-FR"/>
        </w:rPr>
      </w:pPr>
      <w:r w:rsidRPr="0087021D">
        <w:rPr>
          <w:rFonts w:ascii="Verdana" w:hAnsi="Verdana"/>
          <w:sz w:val="20"/>
          <w:szCs w:val="20"/>
          <w:lang w:val="fr-FR"/>
        </w:rPr>
        <w:t>Chacun a le droit de mener une vie conforme à la dignité humaine.</w:t>
      </w:r>
    </w:p>
    <w:p w14:paraId="21E45475" w14:textId="34BA741A" w:rsidR="0087021D" w:rsidRPr="0087021D" w:rsidRDefault="0087021D" w:rsidP="00281FD3">
      <w:pPr>
        <w:pStyle w:val="Sansinterligne"/>
        <w:spacing w:line="20" w:lineRule="atLeast"/>
        <w:ind w:left="708"/>
        <w:jc w:val="both"/>
        <w:rPr>
          <w:rFonts w:ascii="Verdana" w:hAnsi="Verdana"/>
          <w:sz w:val="20"/>
          <w:szCs w:val="20"/>
          <w:lang w:val="fr-FR"/>
        </w:rPr>
      </w:pPr>
      <w:r>
        <w:rPr>
          <w:rFonts w:ascii="Verdana" w:hAnsi="Verdana"/>
          <w:sz w:val="20"/>
          <w:szCs w:val="20"/>
          <w:lang w:val="fr-FR"/>
        </w:rPr>
        <w:t>A</w:t>
      </w:r>
      <w:r w:rsidRPr="0087021D">
        <w:rPr>
          <w:rFonts w:ascii="Verdana" w:hAnsi="Verdana"/>
          <w:sz w:val="20"/>
          <w:szCs w:val="20"/>
          <w:lang w:val="fr-FR"/>
        </w:rPr>
        <w:t xml:space="preserve"> cette fin, la loi, le décret ou la règle visée à l'article 134 garantissent, en tenant compte des obligations correspondantes, les droits économiques, sociaux et cult</w:t>
      </w:r>
      <w:r w:rsidRPr="0087021D">
        <w:rPr>
          <w:rFonts w:ascii="Verdana" w:hAnsi="Verdana"/>
          <w:sz w:val="20"/>
          <w:szCs w:val="20"/>
          <w:lang w:val="fr-FR"/>
        </w:rPr>
        <w:t>u</w:t>
      </w:r>
      <w:r w:rsidRPr="0087021D">
        <w:rPr>
          <w:rFonts w:ascii="Verdana" w:hAnsi="Verdana"/>
          <w:sz w:val="20"/>
          <w:szCs w:val="20"/>
          <w:lang w:val="fr-FR"/>
        </w:rPr>
        <w:t>rels, et déterminent les conditions de leur exercice.</w:t>
      </w:r>
    </w:p>
    <w:p w14:paraId="4F88C992" w14:textId="77777777" w:rsidR="0087021D" w:rsidRPr="0087021D" w:rsidRDefault="0087021D" w:rsidP="00281FD3">
      <w:pPr>
        <w:pStyle w:val="Sansinterligne"/>
        <w:spacing w:line="20" w:lineRule="atLeast"/>
        <w:ind w:left="708"/>
        <w:jc w:val="both"/>
        <w:rPr>
          <w:rFonts w:ascii="Verdana" w:hAnsi="Verdana"/>
          <w:sz w:val="20"/>
          <w:szCs w:val="20"/>
          <w:lang w:val="fr-FR"/>
        </w:rPr>
      </w:pPr>
    </w:p>
    <w:p w14:paraId="4DA9C14D" w14:textId="77777777" w:rsidR="0087021D" w:rsidRPr="0087021D" w:rsidRDefault="0087021D" w:rsidP="00281FD3">
      <w:pPr>
        <w:pStyle w:val="Sansinterligne"/>
        <w:spacing w:line="20" w:lineRule="atLeast"/>
        <w:ind w:left="708"/>
        <w:jc w:val="both"/>
        <w:rPr>
          <w:rFonts w:ascii="Verdana" w:hAnsi="Verdana"/>
          <w:sz w:val="20"/>
          <w:szCs w:val="20"/>
          <w:lang w:val="fr-FR"/>
        </w:rPr>
      </w:pPr>
      <w:r w:rsidRPr="0087021D">
        <w:rPr>
          <w:rFonts w:ascii="Verdana" w:hAnsi="Verdana"/>
          <w:sz w:val="20"/>
          <w:szCs w:val="20"/>
          <w:lang w:val="fr-FR"/>
        </w:rPr>
        <w:t>Ces droits comprennent notamment :</w:t>
      </w:r>
    </w:p>
    <w:p w14:paraId="046989F5" w14:textId="77777777" w:rsidR="0087021D" w:rsidRPr="0087021D" w:rsidRDefault="0087021D" w:rsidP="00281FD3">
      <w:pPr>
        <w:pStyle w:val="Sansinterligne"/>
        <w:spacing w:line="20" w:lineRule="atLeast"/>
        <w:ind w:left="708"/>
        <w:jc w:val="both"/>
        <w:rPr>
          <w:rFonts w:ascii="Verdana" w:hAnsi="Verdana"/>
          <w:sz w:val="20"/>
          <w:szCs w:val="20"/>
          <w:lang w:val="fr-FR"/>
        </w:rPr>
      </w:pPr>
      <w:r w:rsidRPr="0087021D">
        <w:rPr>
          <w:rFonts w:ascii="Verdana" w:hAnsi="Verdana"/>
          <w:sz w:val="20"/>
          <w:szCs w:val="20"/>
          <w:lang w:val="fr-FR"/>
        </w:rPr>
        <w:t>[...]</w:t>
      </w:r>
    </w:p>
    <w:p w14:paraId="5FDE2D74" w14:textId="77777777" w:rsidR="0087021D" w:rsidRPr="0087021D" w:rsidRDefault="0087021D" w:rsidP="00281FD3">
      <w:pPr>
        <w:pStyle w:val="Sansinterligne"/>
        <w:spacing w:line="20" w:lineRule="atLeast"/>
        <w:ind w:left="708"/>
        <w:jc w:val="both"/>
        <w:rPr>
          <w:rFonts w:ascii="Verdana" w:hAnsi="Verdana"/>
          <w:sz w:val="20"/>
          <w:szCs w:val="20"/>
          <w:lang w:val="fr-FR"/>
        </w:rPr>
      </w:pPr>
      <w:r w:rsidRPr="0087021D">
        <w:rPr>
          <w:rFonts w:ascii="Verdana" w:hAnsi="Verdana"/>
          <w:sz w:val="20"/>
          <w:szCs w:val="20"/>
          <w:lang w:val="fr-FR"/>
        </w:rPr>
        <w:t>4° le droit à la protection d'un environnement sain.</w:t>
      </w:r>
    </w:p>
    <w:p w14:paraId="6982B6D8" w14:textId="77777777" w:rsidR="0087021D" w:rsidRPr="0087021D" w:rsidRDefault="0087021D" w:rsidP="00C03246">
      <w:pPr>
        <w:pStyle w:val="Sansinterligne"/>
        <w:spacing w:line="20" w:lineRule="atLeast"/>
        <w:jc w:val="both"/>
        <w:rPr>
          <w:rFonts w:ascii="Verdana" w:hAnsi="Verdana"/>
          <w:sz w:val="20"/>
          <w:szCs w:val="20"/>
          <w:lang w:val="fr-FR"/>
        </w:rPr>
      </w:pPr>
    </w:p>
    <w:p w14:paraId="56AD7866" w14:textId="7004CA7B" w:rsid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Cette disposition contient une obligation de statu quo qui interdit au législateur comp</w:t>
      </w:r>
      <w:r w:rsidRPr="0087021D">
        <w:rPr>
          <w:rFonts w:ascii="Verdana" w:hAnsi="Verdana"/>
          <w:sz w:val="20"/>
          <w:szCs w:val="20"/>
          <w:lang w:val="fr-FR"/>
        </w:rPr>
        <w:t>é</w:t>
      </w:r>
      <w:r w:rsidRPr="0087021D">
        <w:rPr>
          <w:rFonts w:ascii="Verdana" w:hAnsi="Verdana"/>
          <w:sz w:val="20"/>
          <w:szCs w:val="20"/>
          <w:lang w:val="fr-FR"/>
        </w:rPr>
        <w:t>tent de réduire de manière significative le niveau de protection prévu par la législation applicable sans raisons d'intérêt public (GwH 14 septembre 2006, n° 135/2006, BS 6 octobre 2006, éd. 1, 53700, RW 2006-07, 379 et TMR 2007, 72 (considérer B.10.) ; GwH 14 septembre 2006, n° 137/2006, BS 29 septembre 2006, éd. 3, 50677 et JT 2007, 149, note I. HACHEZ (considérant B.7.1.).</w:t>
      </w:r>
    </w:p>
    <w:p w14:paraId="02D8C401" w14:textId="77777777" w:rsidR="0087021D" w:rsidRPr="0087021D" w:rsidRDefault="0087021D" w:rsidP="00C03246">
      <w:pPr>
        <w:pStyle w:val="Sansinterligne"/>
        <w:spacing w:line="20" w:lineRule="atLeast"/>
        <w:jc w:val="both"/>
        <w:rPr>
          <w:rFonts w:ascii="Verdana" w:hAnsi="Verdana"/>
          <w:sz w:val="20"/>
          <w:szCs w:val="20"/>
          <w:lang w:val="fr-FR"/>
        </w:rPr>
      </w:pPr>
    </w:p>
    <w:p w14:paraId="26BD2F67" w14:textId="77777777" w:rsidR="0087021D" w:rsidRP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 xml:space="preserve">L'article 23 </w:t>
      </w:r>
      <w:r w:rsidRPr="0087021D">
        <w:rPr>
          <w:rFonts w:ascii="Verdana" w:hAnsi="Verdana"/>
          <w:color w:val="00B0F0"/>
          <w:sz w:val="20"/>
          <w:szCs w:val="20"/>
          <w:lang w:val="fr-FR"/>
        </w:rPr>
        <w:t>GW</w:t>
      </w:r>
      <w:r w:rsidRPr="0087021D">
        <w:rPr>
          <w:rFonts w:ascii="Verdana" w:hAnsi="Verdana"/>
          <w:sz w:val="20"/>
          <w:szCs w:val="20"/>
          <w:lang w:val="fr-FR"/>
        </w:rPr>
        <w:t xml:space="preserve"> s'applique également aux rayonnements électromagnétiques. En effet, la Cour constitutionnelle a statué comme suit :</w:t>
      </w:r>
    </w:p>
    <w:p w14:paraId="42D05716" w14:textId="77777777" w:rsidR="0087021D" w:rsidRPr="0087021D" w:rsidRDefault="0087021D" w:rsidP="00C03246">
      <w:pPr>
        <w:pStyle w:val="Sansinterligne"/>
        <w:spacing w:line="20" w:lineRule="atLeast"/>
        <w:jc w:val="both"/>
        <w:rPr>
          <w:rFonts w:ascii="Verdana" w:hAnsi="Verdana"/>
          <w:sz w:val="20"/>
          <w:szCs w:val="20"/>
          <w:lang w:val="fr-FR"/>
        </w:rPr>
      </w:pPr>
    </w:p>
    <w:p w14:paraId="4DA9CA92" w14:textId="77777777" w:rsidR="0087021D" w:rsidRP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L'exposition potentielle aux rayonnements électromagnétiques peut réduire considér</w:t>
      </w:r>
      <w:r w:rsidRPr="0087021D">
        <w:rPr>
          <w:rFonts w:ascii="Verdana" w:hAnsi="Verdana"/>
          <w:sz w:val="20"/>
          <w:szCs w:val="20"/>
          <w:lang w:val="fr-FR"/>
        </w:rPr>
        <w:t>a</w:t>
      </w:r>
      <w:r w:rsidRPr="0087021D">
        <w:rPr>
          <w:rFonts w:ascii="Verdana" w:hAnsi="Verdana"/>
          <w:sz w:val="20"/>
          <w:szCs w:val="20"/>
          <w:lang w:val="fr-FR"/>
        </w:rPr>
        <w:t>blement le niveau de protection existant d'un environnement sain pour la catégorie de personnes qui y est exposée. Pour les personnes sensibles aux champs électromagn</w:t>
      </w:r>
      <w:r w:rsidRPr="0087021D">
        <w:rPr>
          <w:rFonts w:ascii="Verdana" w:hAnsi="Verdana"/>
          <w:sz w:val="20"/>
          <w:szCs w:val="20"/>
          <w:lang w:val="fr-FR"/>
        </w:rPr>
        <w:t>é</w:t>
      </w:r>
      <w:r w:rsidRPr="0087021D">
        <w:rPr>
          <w:rFonts w:ascii="Verdana" w:hAnsi="Verdana"/>
          <w:sz w:val="20"/>
          <w:szCs w:val="20"/>
          <w:lang w:val="fr-FR"/>
        </w:rPr>
        <w:t>tiques, il peut être nécessaire de limiter d'emblée leur exposition autant que possible. (GwH no 5/2021, 14 janvier 2021)</w:t>
      </w:r>
    </w:p>
    <w:p w14:paraId="05CD2C3E" w14:textId="77777777" w:rsidR="0087021D" w:rsidRP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Par conséquent, sur la base de l'article 23 de la Constitution, l'exposition aux rayonn</w:t>
      </w:r>
      <w:r w:rsidRPr="0087021D">
        <w:rPr>
          <w:rFonts w:ascii="Verdana" w:hAnsi="Verdana"/>
          <w:sz w:val="20"/>
          <w:szCs w:val="20"/>
          <w:lang w:val="fr-FR"/>
        </w:rPr>
        <w:t>e</w:t>
      </w:r>
      <w:r w:rsidRPr="0087021D">
        <w:rPr>
          <w:rFonts w:ascii="Verdana" w:hAnsi="Verdana"/>
          <w:sz w:val="20"/>
          <w:szCs w:val="20"/>
          <w:lang w:val="fr-FR"/>
        </w:rPr>
        <w:t>ments électromagnétiques doit être limitée autant que possible.</w:t>
      </w:r>
    </w:p>
    <w:p w14:paraId="2B26FAE6" w14:textId="77777777" w:rsidR="0087021D" w:rsidRPr="0087021D" w:rsidRDefault="0087021D" w:rsidP="00C03246">
      <w:pPr>
        <w:pStyle w:val="Sansinterligne"/>
        <w:spacing w:line="20" w:lineRule="atLeast"/>
        <w:jc w:val="both"/>
        <w:rPr>
          <w:rFonts w:ascii="Verdana" w:hAnsi="Verdana"/>
          <w:sz w:val="20"/>
          <w:szCs w:val="20"/>
          <w:lang w:val="fr-FR"/>
        </w:rPr>
      </w:pPr>
    </w:p>
    <w:p w14:paraId="11742220" w14:textId="77777777" w:rsidR="0087021D" w:rsidRP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19.</w:t>
      </w:r>
    </w:p>
    <w:p w14:paraId="2F4DCD90" w14:textId="65CE1F19" w:rsidR="0087021D" w:rsidRDefault="0087021D" w:rsidP="00C03246">
      <w:pPr>
        <w:pStyle w:val="Sansinterligne"/>
        <w:spacing w:line="20" w:lineRule="atLeast"/>
        <w:jc w:val="both"/>
        <w:rPr>
          <w:rFonts w:ascii="Verdana" w:hAnsi="Verdana"/>
          <w:sz w:val="20"/>
          <w:szCs w:val="20"/>
          <w:lang w:val="fr-FR"/>
        </w:rPr>
      </w:pPr>
      <w:r w:rsidRPr="0087021D">
        <w:rPr>
          <w:rFonts w:ascii="Verdana" w:hAnsi="Verdana"/>
          <w:sz w:val="20"/>
          <w:szCs w:val="20"/>
          <w:lang w:val="fr-FR"/>
        </w:rPr>
        <w:t>L'article 22 de la Constitution prévoit en outre</w:t>
      </w:r>
      <w:r>
        <w:rPr>
          <w:rFonts w:ascii="Verdana" w:hAnsi="Verdana"/>
          <w:sz w:val="20"/>
          <w:szCs w:val="20"/>
          <w:lang w:val="fr-FR"/>
        </w:rPr>
        <w:t> :</w:t>
      </w:r>
    </w:p>
    <w:p w14:paraId="2F8BEB82" w14:textId="77777777" w:rsidR="00281FD3" w:rsidRPr="0087021D" w:rsidRDefault="00281FD3" w:rsidP="00C03246">
      <w:pPr>
        <w:pStyle w:val="Sansinterligne"/>
        <w:spacing w:line="20" w:lineRule="atLeast"/>
        <w:jc w:val="both"/>
        <w:rPr>
          <w:rFonts w:ascii="Verdana" w:hAnsi="Verdana"/>
          <w:sz w:val="20"/>
          <w:szCs w:val="20"/>
          <w:lang w:val="fr-FR"/>
        </w:rPr>
      </w:pPr>
    </w:p>
    <w:p w14:paraId="56D3E008" w14:textId="77777777" w:rsidR="0087021D" w:rsidRPr="0087021D" w:rsidRDefault="0087021D" w:rsidP="00281FD3">
      <w:pPr>
        <w:pStyle w:val="Sansinterligne"/>
        <w:spacing w:line="20" w:lineRule="atLeast"/>
        <w:ind w:left="708"/>
        <w:jc w:val="both"/>
        <w:rPr>
          <w:rFonts w:ascii="Verdana" w:hAnsi="Verdana"/>
          <w:sz w:val="20"/>
          <w:szCs w:val="20"/>
          <w:lang w:val="fr-FR"/>
        </w:rPr>
      </w:pPr>
      <w:r w:rsidRPr="0087021D">
        <w:rPr>
          <w:rFonts w:ascii="Verdana" w:hAnsi="Verdana"/>
          <w:sz w:val="20"/>
          <w:szCs w:val="20"/>
          <w:lang w:val="fr-FR"/>
        </w:rPr>
        <w:t>Chacun a droit au respect de sa vie privée et familiale, sauf dans les cas et cond</w:t>
      </w:r>
      <w:r w:rsidRPr="0087021D">
        <w:rPr>
          <w:rFonts w:ascii="Verdana" w:hAnsi="Verdana"/>
          <w:sz w:val="20"/>
          <w:szCs w:val="20"/>
          <w:lang w:val="fr-FR"/>
        </w:rPr>
        <w:t>i</w:t>
      </w:r>
      <w:r w:rsidRPr="0087021D">
        <w:rPr>
          <w:rFonts w:ascii="Verdana" w:hAnsi="Verdana"/>
          <w:sz w:val="20"/>
          <w:szCs w:val="20"/>
          <w:lang w:val="fr-FR"/>
        </w:rPr>
        <w:t>tions fixés par la loi.</w:t>
      </w:r>
    </w:p>
    <w:p w14:paraId="33756203" w14:textId="19468121" w:rsidR="00280590" w:rsidRPr="00FC791F" w:rsidRDefault="0087021D" w:rsidP="00281FD3">
      <w:pPr>
        <w:pStyle w:val="Sansinterligne"/>
        <w:spacing w:line="20" w:lineRule="atLeast"/>
        <w:ind w:left="708"/>
        <w:jc w:val="both"/>
        <w:rPr>
          <w:rFonts w:ascii="Verdana" w:hAnsi="Verdana"/>
          <w:sz w:val="20"/>
          <w:szCs w:val="20"/>
          <w:lang w:val="fr-FR"/>
        </w:rPr>
      </w:pPr>
      <w:r w:rsidRPr="0087021D">
        <w:rPr>
          <w:rFonts w:ascii="Verdana" w:hAnsi="Verdana"/>
          <w:sz w:val="20"/>
          <w:szCs w:val="20"/>
          <w:lang w:val="fr-FR"/>
        </w:rPr>
        <w:t>La loi, le décret ou la règle visée à l'article 134 garantissent la protection de ce droit.</w:t>
      </w:r>
    </w:p>
    <w:p w14:paraId="23391390" w14:textId="77777777" w:rsidR="00C03246" w:rsidRDefault="00C03246" w:rsidP="00C03246">
      <w:pPr>
        <w:pStyle w:val="Sansinterligne"/>
        <w:spacing w:line="20" w:lineRule="atLeast"/>
        <w:jc w:val="both"/>
        <w:rPr>
          <w:rFonts w:ascii="Verdana" w:hAnsi="Verdana"/>
          <w:sz w:val="20"/>
          <w:szCs w:val="20"/>
          <w:lang w:val="fr-FR"/>
        </w:rPr>
      </w:pPr>
    </w:p>
    <w:p w14:paraId="393DEBD6" w14:textId="626A4DD7" w:rsidR="00280590" w:rsidRPr="00FC791F" w:rsidRDefault="00280590"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L'article 8 de la Convention européenne des droits de l'homme stipule que :</w:t>
      </w:r>
    </w:p>
    <w:p w14:paraId="7EFAEFE6" w14:textId="77777777" w:rsidR="00280590" w:rsidRPr="00FC791F" w:rsidRDefault="00280590" w:rsidP="00C03246">
      <w:pPr>
        <w:pStyle w:val="Sansinterligne"/>
        <w:spacing w:line="20" w:lineRule="atLeast"/>
        <w:jc w:val="both"/>
        <w:rPr>
          <w:rFonts w:ascii="Verdana" w:hAnsi="Verdana"/>
          <w:sz w:val="20"/>
          <w:szCs w:val="20"/>
          <w:lang w:val="fr-FR"/>
        </w:rPr>
      </w:pPr>
    </w:p>
    <w:p w14:paraId="5A5D3B99" w14:textId="0E9DE216" w:rsidR="00C03246" w:rsidRPr="00C03246" w:rsidRDefault="00C03246" w:rsidP="00C03246">
      <w:pPr>
        <w:pStyle w:val="Sansinterligne"/>
        <w:spacing w:line="20" w:lineRule="atLeast"/>
        <w:ind w:left="708"/>
        <w:jc w:val="both"/>
        <w:rPr>
          <w:rFonts w:ascii="Verdana" w:hAnsi="Verdana"/>
          <w:sz w:val="20"/>
          <w:szCs w:val="20"/>
          <w:lang w:val="fr-FR"/>
        </w:rPr>
      </w:pPr>
      <w:r w:rsidRPr="00C03246">
        <w:rPr>
          <w:rFonts w:ascii="Verdana" w:hAnsi="Verdana"/>
          <w:sz w:val="20"/>
          <w:szCs w:val="20"/>
          <w:lang w:val="fr-FR"/>
        </w:rPr>
        <w:t>1. Toute personne a droit au respect de sa vie privée et familiale,</w:t>
      </w:r>
      <w:r>
        <w:rPr>
          <w:rFonts w:ascii="Verdana" w:hAnsi="Verdana"/>
          <w:sz w:val="20"/>
          <w:szCs w:val="20"/>
          <w:lang w:val="fr-FR"/>
        </w:rPr>
        <w:t xml:space="preserve"> </w:t>
      </w:r>
      <w:r w:rsidRPr="00C03246">
        <w:rPr>
          <w:rFonts w:ascii="Verdana" w:hAnsi="Verdana"/>
          <w:sz w:val="20"/>
          <w:szCs w:val="20"/>
          <w:lang w:val="fr-FR"/>
        </w:rPr>
        <w:t>de son domicile et de sa correspondance.</w:t>
      </w:r>
    </w:p>
    <w:p w14:paraId="63D2B307" w14:textId="7BE93FAB" w:rsidR="00C03246" w:rsidRPr="00C03246" w:rsidRDefault="00C03246" w:rsidP="00C03246">
      <w:pPr>
        <w:pStyle w:val="Sansinterligne"/>
        <w:spacing w:line="20" w:lineRule="atLeast"/>
        <w:ind w:left="708"/>
        <w:jc w:val="both"/>
        <w:rPr>
          <w:rFonts w:ascii="Verdana" w:hAnsi="Verdana"/>
          <w:sz w:val="20"/>
          <w:szCs w:val="20"/>
          <w:lang w:val="fr-FR"/>
        </w:rPr>
      </w:pPr>
      <w:r w:rsidRPr="00C03246">
        <w:rPr>
          <w:rFonts w:ascii="Verdana" w:hAnsi="Verdana"/>
          <w:sz w:val="20"/>
          <w:szCs w:val="20"/>
          <w:lang w:val="fr-FR"/>
        </w:rPr>
        <w:t>2. Il ne peut y avoir ingérence d’une autorité publique dans</w:t>
      </w:r>
      <w:r>
        <w:rPr>
          <w:rFonts w:ascii="Verdana" w:hAnsi="Verdana"/>
          <w:sz w:val="20"/>
          <w:szCs w:val="20"/>
          <w:lang w:val="fr-FR"/>
        </w:rPr>
        <w:t xml:space="preserve"> </w:t>
      </w:r>
      <w:r w:rsidRPr="00C03246">
        <w:rPr>
          <w:rFonts w:ascii="Verdana" w:hAnsi="Verdana"/>
          <w:sz w:val="20"/>
          <w:szCs w:val="20"/>
          <w:lang w:val="fr-FR"/>
        </w:rPr>
        <w:t>l’exercice de ce droit que pour autant que cette ingérence est</w:t>
      </w:r>
      <w:r>
        <w:rPr>
          <w:rFonts w:ascii="Verdana" w:hAnsi="Verdana"/>
          <w:sz w:val="20"/>
          <w:szCs w:val="20"/>
          <w:lang w:val="fr-FR"/>
        </w:rPr>
        <w:t xml:space="preserve"> </w:t>
      </w:r>
      <w:r w:rsidRPr="00C03246">
        <w:rPr>
          <w:rFonts w:ascii="Verdana" w:hAnsi="Verdana"/>
          <w:sz w:val="20"/>
          <w:szCs w:val="20"/>
          <w:lang w:val="fr-FR"/>
        </w:rPr>
        <w:t>prévue par la loi et qu’elle constitue une mesure qui, dans une</w:t>
      </w:r>
      <w:r>
        <w:rPr>
          <w:rFonts w:ascii="Verdana" w:hAnsi="Verdana"/>
          <w:sz w:val="20"/>
          <w:szCs w:val="20"/>
          <w:lang w:val="fr-FR"/>
        </w:rPr>
        <w:t xml:space="preserve"> </w:t>
      </w:r>
      <w:r w:rsidRPr="00C03246">
        <w:rPr>
          <w:rFonts w:ascii="Verdana" w:hAnsi="Verdana"/>
          <w:sz w:val="20"/>
          <w:szCs w:val="20"/>
          <w:lang w:val="fr-FR"/>
        </w:rPr>
        <w:t>société démocratique, est nécessaire à la sécurité nationale,</w:t>
      </w:r>
    </w:p>
    <w:p w14:paraId="2382AB8B" w14:textId="6E9A4091" w:rsidR="00280590" w:rsidRPr="00FC791F" w:rsidRDefault="00C03246" w:rsidP="00C03246">
      <w:pPr>
        <w:pStyle w:val="Sansinterligne"/>
        <w:spacing w:line="20" w:lineRule="atLeast"/>
        <w:ind w:left="708"/>
        <w:jc w:val="both"/>
        <w:rPr>
          <w:rFonts w:ascii="Verdana" w:hAnsi="Verdana"/>
          <w:sz w:val="20"/>
          <w:szCs w:val="20"/>
          <w:lang w:val="fr-FR"/>
        </w:rPr>
      </w:pPr>
      <w:r w:rsidRPr="00C03246">
        <w:rPr>
          <w:rFonts w:ascii="Verdana" w:hAnsi="Verdana"/>
          <w:sz w:val="20"/>
          <w:szCs w:val="20"/>
          <w:lang w:val="fr-FR"/>
        </w:rPr>
        <w:t>à la sûreté publique, au bien-être économique du pays, à la</w:t>
      </w:r>
      <w:r>
        <w:rPr>
          <w:rFonts w:ascii="Verdana" w:hAnsi="Verdana"/>
          <w:sz w:val="20"/>
          <w:szCs w:val="20"/>
          <w:lang w:val="fr-FR"/>
        </w:rPr>
        <w:t xml:space="preserve"> </w:t>
      </w:r>
      <w:r w:rsidRPr="00C03246">
        <w:rPr>
          <w:rFonts w:ascii="Verdana" w:hAnsi="Verdana"/>
          <w:sz w:val="20"/>
          <w:szCs w:val="20"/>
          <w:lang w:val="fr-FR"/>
        </w:rPr>
        <w:t>défense de l’ordre et à la prévention des infractions pénales, à</w:t>
      </w:r>
      <w:r>
        <w:rPr>
          <w:rFonts w:ascii="Verdana" w:hAnsi="Verdana"/>
          <w:sz w:val="20"/>
          <w:szCs w:val="20"/>
          <w:lang w:val="fr-FR"/>
        </w:rPr>
        <w:t xml:space="preserve"> </w:t>
      </w:r>
      <w:r w:rsidRPr="00C03246">
        <w:rPr>
          <w:rFonts w:ascii="Verdana" w:hAnsi="Verdana"/>
          <w:sz w:val="20"/>
          <w:szCs w:val="20"/>
          <w:lang w:val="fr-FR"/>
        </w:rPr>
        <w:t>la protection de la santé ou de la m</w:t>
      </w:r>
      <w:r w:rsidRPr="00C03246">
        <w:rPr>
          <w:rFonts w:ascii="Verdana" w:hAnsi="Verdana"/>
          <w:sz w:val="20"/>
          <w:szCs w:val="20"/>
          <w:lang w:val="fr-FR"/>
        </w:rPr>
        <w:t>o</w:t>
      </w:r>
      <w:r w:rsidRPr="00C03246">
        <w:rPr>
          <w:rFonts w:ascii="Verdana" w:hAnsi="Verdana"/>
          <w:sz w:val="20"/>
          <w:szCs w:val="20"/>
          <w:lang w:val="fr-FR"/>
        </w:rPr>
        <w:t>rale, ou à la protection des</w:t>
      </w:r>
      <w:r>
        <w:rPr>
          <w:rFonts w:ascii="Verdana" w:hAnsi="Verdana"/>
          <w:sz w:val="20"/>
          <w:szCs w:val="20"/>
          <w:lang w:val="fr-FR"/>
        </w:rPr>
        <w:t xml:space="preserve"> </w:t>
      </w:r>
      <w:r w:rsidRPr="00C03246">
        <w:rPr>
          <w:rFonts w:ascii="Verdana" w:hAnsi="Verdana"/>
          <w:sz w:val="20"/>
          <w:szCs w:val="20"/>
          <w:lang w:val="fr-FR"/>
        </w:rPr>
        <w:t>droits et libertés d’autrui.</w:t>
      </w:r>
    </w:p>
    <w:p w14:paraId="66FBC398" w14:textId="77777777" w:rsidR="00280590" w:rsidRPr="00FC791F" w:rsidRDefault="00280590" w:rsidP="00C03246">
      <w:pPr>
        <w:pStyle w:val="Sansinterligne"/>
        <w:spacing w:line="20" w:lineRule="atLeast"/>
        <w:jc w:val="both"/>
        <w:rPr>
          <w:rFonts w:ascii="Verdana" w:hAnsi="Verdana"/>
          <w:sz w:val="20"/>
          <w:szCs w:val="20"/>
          <w:lang w:val="fr-FR"/>
        </w:rPr>
      </w:pPr>
    </w:p>
    <w:p w14:paraId="638B7EB9" w14:textId="77777777" w:rsidR="00280590" w:rsidRPr="00FC791F" w:rsidRDefault="00280590"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L'article 11 de la Charte sociale européenne révisée stipule que :</w:t>
      </w:r>
    </w:p>
    <w:p w14:paraId="1D7F2FCF" w14:textId="77777777" w:rsidR="00280590" w:rsidRPr="00FC791F" w:rsidRDefault="00280590" w:rsidP="00C03246">
      <w:pPr>
        <w:pStyle w:val="Sansinterligne"/>
        <w:spacing w:line="20" w:lineRule="atLeast"/>
        <w:jc w:val="both"/>
        <w:rPr>
          <w:rFonts w:ascii="Verdana" w:hAnsi="Verdana"/>
          <w:sz w:val="20"/>
          <w:szCs w:val="20"/>
          <w:lang w:val="fr-FR"/>
        </w:rPr>
      </w:pPr>
    </w:p>
    <w:p w14:paraId="4714C46B" w14:textId="25D6A382" w:rsidR="00C03246" w:rsidRDefault="00280590" w:rsidP="00281FD3">
      <w:pPr>
        <w:pStyle w:val="Sansinterligne"/>
        <w:spacing w:line="20" w:lineRule="atLeast"/>
        <w:ind w:left="708"/>
        <w:jc w:val="both"/>
        <w:rPr>
          <w:rFonts w:ascii="Verdana" w:hAnsi="Verdana"/>
          <w:sz w:val="20"/>
          <w:szCs w:val="20"/>
          <w:lang w:val="fr-FR"/>
        </w:rPr>
      </w:pPr>
      <w:r w:rsidRPr="00FC791F">
        <w:rPr>
          <w:rFonts w:ascii="Verdana" w:hAnsi="Verdana"/>
          <w:sz w:val="20"/>
          <w:szCs w:val="20"/>
          <w:lang w:val="fr-FR"/>
        </w:rPr>
        <w:lastRenderedPageBreak/>
        <w:t>Droit à la protection de la santé</w:t>
      </w:r>
      <w:r w:rsidR="00C03246">
        <w:rPr>
          <w:rFonts w:ascii="Verdana" w:hAnsi="Verdana"/>
          <w:sz w:val="20"/>
          <w:szCs w:val="20"/>
          <w:lang w:val="fr-FR"/>
        </w:rPr>
        <w:t xml:space="preserve">. </w:t>
      </w:r>
      <w:r w:rsidR="00C03246" w:rsidRPr="00C03246">
        <w:rPr>
          <w:rFonts w:ascii="Verdana" w:hAnsi="Verdana"/>
          <w:sz w:val="20"/>
          <w:szCs w:val="20"/>
          <w:lang w:val="fr-FR"/>
        </w:rPr>
        <w:t>En vue d'assurer l'exercice effectif du droit à la protection de la santé, les Parties s'engagent</w:t>
      </w:r>
      <w:r w:rsidR="00C03246">
        <w:rPr>
          <w:rFonts w:ascii="Verdana" w:hAnsi="Verdana"/>
          <w:sz w:val="20"/>
          <w:szCs w:val="20"/>
          <w:lang w:val="fr-FR"/>
        </w:rPr>
        <w:t xml:space="preserve"> </w:t>
      </w:r>
      <w:r w:rsidR="00C03246" w:rsidRPr="00C03246">
        <w:rPr>
          <w:rFonts w:ascii="Verdana" w:hAnsi="Verdana"/>
          <w:sz w:val="20"/>
          <w:szCs w:val="20"/>
          <w:lang w:val="fr-FR"/>
        </w:rPr>
        <w:t>à prendre, soit directement, soit en coopération avec les organisations publiques et privées,</w:t>
      </w:r>
      <w:r w:rsidR="00C03246">
        <w:rPr>
          <w:rFonts w:ascii="Verdana" w:hAnsi="Verdana"/>
          <w:sz w:val="20"/>
          <w:szCs w:val="20"/>
          <w:lang w:val="fr-FR"/>
        </w:rPr>
        <w:t xml:space="preserve"> </w:t>
      </w:r>
      <w:r w:rsidR="00C03246" w:rsidRPr="00C03246">
        <w:rPr>
          <w:rFonts w:ascii="Verdana" w:hAnsi="Verdana"/>
          <w:sz w:val="20"/>
          <w:szCs w:val="20"/>
          <w:lang w:val="fr-FR"/>
        </w:rPr>
        <w:t>des mesures appropriées tendant nota</w:t>
      </w:r>
      <w:r w:rsidR="00C03246">
        <w:rPr>
          <w:rFonts w:ascii="Verdana" w:hAnsi="Verdana"/>
          <w:sz w:val="20"/>
          <w:szCs w:val="20"/>
          <w:lang w:val="fr-FR"/>
        </w:rPr>
        <w:t>m</w:t>
      </w:r>
      <w:r w:rsidR="00C03246" w:rsidRPr="00C03246">
        <w:rPr>
          <w:rFonts w:ascii="Verdana" w:hAnsi="Verdana"/>
          <w:sz w:val="20"/>
          <w:szCs w:val="20"/>
          <w:lang w:val="fr-FR"/>
        </w:rPr>
        <w:t>ment</w:t>
      </w:r>
      <w:r w:rsidR="00281FD3">
        <w:rPr>
          <w:rFonts w:ascii="Verdana" w:hAnsi="Verdana"/>
          <w:sz w:val="20"/>
          <w:szCs w:val="20"/>
          <w:lang w:val="fr-FR"/>
        </w:rPr>
        <w:t xml:space="preserve"> </w:t>
      </w:r>
      <w:r w:rsidR="00C03246" w:rsidRPr="00C03246">
        <w:rPr>
          <w:rFonts w:ascii="Verdana" w:hAnsi="Verdana"/>
          <w:sz w:val="20"/>
          <w:szCs w:val="20"/>
          <w:lang w:val="fr-FR"/>
        </w:rPr>
        <w:t>:</w:t>
      </w:r>
      <w:r w:rsidR="00C03246">
        <w:rPr>
          <w:rFonts w:ascii="Verdana" w:hAnsi="Verdana"/>
          <w:sz w:val="20"/>
          <w:szCs w:val="20"/>
          <w:lang w:val="fr-FR"/>
        </w:rPr>
        <w:t xml:space="preserve"> </w:t>
      </w:r>
    </w:p>
    <w:p w14:paraId="7D6D37AA" w14:textId="093E1163" w:rsidR="00C03246" w:rsidRPr="00C03246" w:rsidRDefault="00C03246" w:rsidP="00281FD3">
      <w:pPr>
        <w:pStyle w:val="Sansinterligne"/>
        <w:numPr>
          <w:ilvl w:val="0"/>
          <w:numId w:val="10"/>
        </w:numPr>
        <w:spacing w:line="20" w:lineRule="atLeast"/>
        <w:jc w:val="both"/>
        <w:rPr>
          <w:rFonts w:ascii="Verdana" w:hAnsi="Verdana"/>
          <w:sz w:val="20"/>
          <w:szCs w:val="20"/>
          <w:lang w:val="fr-FR"/>
        </w:rPr>
      </w:pPr>
      <w:r w:rsidRPr="00C03246">
        <w:rPr>
          <w:rFonts w:ascii="Verdana" w:hAnsi="Verdana"/>
          <w:sz w:val="20"/>
          <w:szCs w:val="20"/>
          <w:lang w:val="fr-FR"/>
        </w:rPr>
        <w:t>à éliminer, dans la mesure du possible, les causes d'une santé déf</w:t>
      </w:r>
      <w:r w:rsidRPr="00C03246">
        <w:rPr>
          <w:rFonts w:ascii="Verdana" w:hAnsi="Verdana"/>
          <w:sz w:val="20"/>
          <w:szCs w:val="20"/>
          <w:lang w:val="fr-FR"/>
        </w:rPr>
        <w:t>i</w:t>
      </w:r>
      <w:r w:rsidRPr="00C03246">
        <w:rPr>
          <w:rFonts w:ascii="Verdana" w:hAnsi="Verdana"/>
          <w:sz w:val="20"/>
          <w:szCs w:val="20"/>
          <w:lang w:val="fr-FR"/>
        </w:rPr>
        <w:t>ciente</w:t>
      </w:r>
      <w:r>
        <w:rPr>
          <w:rFonts w:ascii="Verdana" w:hAnsi="Verdana"/>
          <w:sz w:val="20"/>
          <w:szCs w:val="20"/>
          <w:lang w:val="fr-FR"/>
        </w:rPr>
        <w:t xml:space="preserve"> </w:t>
      </w:r>
      <w:r w:rsidRPr="00C03246">
        <w:rPr>
          <w:rFonts w:ascii="Verdana" w:hAnsi="Verdana"/>
          <w:sz w:val="20"/>
          <w:szCs w:val="20"/>
          <w:lang w:val="fr-FR"/>
        </w:rPr>
        <w:t>;</w:t>
      </w:r>
    </w:p>
    <w:p w14:paraId="52C7BB30" w14:textId="50D63B07" w:rsidR="00C03246" w:rsidRPr="00C03246" w:rsidRDefault="00C03246" w:rsidP="00281FD3">
      <w:pPr>
        <w:pStyle w:val="Sansinterligne"/>
        <w:numPr>
          <w:ilvl w:val="0"/>
          <w:numId w:val="10"/>
        </w:numPr>
        <w:spacing w:line="20" w:lineRule="atLeast"/>
        <w:jc w:val="both"/>
        <w:rPr>
          <w:rFonts w:ascii="Verdana" w:hAnsi="Verdana"/>
          <w:sz w:val="20"/>
          <w:szCs w:val="20"/>
          <w:lang w:val="fr-FR"/>
        </w:rPr>
      </w:pPr>
      <w:r w:rsidRPr="00C03246">
        <w:rPr>
          <w:rFonts w:ascii="Verdana" w:hAnsi="Verdana"/>
          <w:sz w:val="20"/>
          <w:szCs w:val="20"/>
          <w:lang w:val="fr-FR"/>
        </w:rPr>
        <w:t>à prévoir des services de consultation et d'éducation pour ce qui concerne l'amélioration de la</w:t>
      </w:r>
      <w:r>
        <w:rPr>
          <w:rFonts w:ascii="Verdana" w:hAnsi="Verdana"/>
          <w:sz w:val="20"/>
          <w:szCs w:val="20"/>
          <w:lang w:val="fr-FR"/>
        </w:rPr>
        <w:t xml:space="preserve"> </w:t>
      </w:r>
      <w:r w:rsidRPr="00C03246">
        <w:rPr>
          <w:rFonts w:ascii="Verdana" w:hAnsi="Verdana"/>
          <w:sz w:val="20"/>
          <w:szCs w:val="20"/>
          <w:lang w:val="fr-FR"/>
        </w:rPr>
        <w:t>santé et le développement du sens de la responsabilité individuelle en matière de santé</w:t>
      </w:r>
      <w:r>
        <w:rPr>
          <w:rFonts w:ascii="Verdana" w:hAnsi="Verdana"/>
          <w:sz w:val="20"/>
          <w:szCs w:val="20"/>
          <w:lang w:val="fr-FR"/>
        </w:rPr>
        <w:t xml:space="preserve"> </w:t>
      </w:r>
      <w:r w:rsidRPr="00C03246">
        <w:rPr>
          <w:rFonts w:ascii="Verdana" w:hAnsi="Verdana"/>
          <w:sz w:val="20"/>
          <w:szCs w:val="20"/>
          <w:lang w:val="fr-FR"/>
        </w:rPr>
        <w:t>;</w:t>
      </w:r>
    </w:p>
    <w:p w14:paraId="41CFFB87" w14:textId="28038BC6" w:rsidR="00280590" w:rsidRPr="00FC791F" w:rsidRDefault="00C03246" w:rsidP="00281FD3">
      <w:pPr>
        <w:pStyle w:val="Sansinterligne"/>
        <w:numPr>
          <w:ilvl w:val="0"/>
          <w:numId w:val="10"/>
        </w:numPr>
        <w:spacing w:line="20" w:lineRule="atLeast"/>
        <w:jc w:val="both"/>
        <w:rPr>
          <w:rFonts w:ascii="Verdana" w:hAnsi="Verdana"/>
          <w:sz w:val="20"/>
          <w:szCs w:val="20"/>
          <w:lang w:val="fr-FR"/>
        </w:rPr>
      </w:pPr>
      <w:r w:rsidRPr="00C03246">
        <w:rPr>
          <w:rFonts w:ascii="Verdana" w:hAnsi="Verdana"/>
          <w:sz w:val="20"/>
          <w:szCs w:val="20"/>
          <w:lang w:val="fr-FR"/>
        </w:rPr>
        <w:t>à prévenir, dans la mesure du possible, les maladies épidémiques, endémiques et autres,</w:t>
      </w:r>
      <w:r>
        <w:rPr>
          <w:rFonts w:ascii="Verdana" w:hAnsi="Verdana"/>
          <w:sz w:val="20"/>
          <w:szCs w:val="20"/>
          <w:lang w:val="fr-FR"/>
        </w:rPr>
        <w:t xml:space="preserve"> </w:t>
      </w:r>
      <w:r w:rsidRPr="00C03246">
        <w:rPr>
          <w:rFonts w:ascii="Verdana" w:hAnsi="Verdana"/>
          <w:sz w:val="20"/>
          <w:szCs w:val="20"/>
          <w:lang w:val="fr-FR"/>
        </w:rPr>
        <w:t>ainsi que les accidents.</w:t>
      </w:r>
    </w:p>
    <w:p w14:paraId="62F13558" w14:textId="77777777" w:rsidR="00280590" w:rsidRPr="00FC791F" w:rsidRDefault="00280590" w:rsidP="00C03246">
      <w:pPr>
        <w:pStyle w:val="Sansinterligne"/>
        <w:spacing w:line="20" w:lineRule="atLeast"/>
        <w:jc w:val="both"/>
        <w:rPr>
          <w:rFonts w:ascii="Verdana" w:hAnsi="Verdana"/>
          <w:sz w:val="20"/>
          <w:szCs w:val="20"/>
          <w:lang w:val="fr-FR"/>
        </w:rPr>
      </w:pPr>
    </w:p>
    <w:p w14:paraId="5A985FDC" w14:textId="08A107EA" w:rsidR="00280590" w:rsidRPr="00FC791F" w:rsidRDefault="00280590"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 xml:space="preserve">Le droit au respect de la vie privée et familiale a pour objectif essentiel de protéger les personnes contre toute ingérence dans leur vie privée et familiale, leur domicile ou leur correspondance. La proposition qui a précédé l'adoption de l'article 22 de la Constitution mettait l'accent sur " la protection de la personne, la reconnaissance de son identité et l'importance de son développement et de celui de sa famille " et soulignait la nécessité de protéger la vie privée et familiale contre " les ingérences, </w:t>
      </w:r>
      <w:r w:rsidR="003B6078">
        <w:rPr>
          <w:rFonts w:ascii="Verdana" w:hAnsi="Verdana"/>
          <w:sz w:val="20"/>
          <w:szCs w:val="20"/>
          <w:lang w:val="fr-FR"/>
        </w:rPr>
        <w:t xml:space="preserve">résultant notamment </w:t>
      </w:r>
      <w:r w:rsidRPr="00FC791F">
        <w:rPr>
          <w:rFonts w:ascii="Verdana" w:hAnsi="Verdana"/>
          <w:sz w:val="20"/>
          <w:szCs w:val="20"/>
          <w:lang w:val="fr-FR"/>
        </w:rPr>
        <w:t>du développement con</w:t>
      </w:r>
      <w:r w:rsidR="003B6078">
        <w:rPr>
          <w:rFonts w:ascii="Verdana" w:hAnsi="Verdana"/>
          <w:sz w:val="20"/>
          <w:szCs w:val="20"/>
          <w:lang w:val="fr-FR"/>
        </w:rPr>
        <w:t>stant</w:t>
      </w:r>
      <w:r w:rsidRPr="00FC791F">
        <w:rPr>
          <w:rFonts w:ascii="Verdana" w:hAnsi="Verdana"/>
          <w:sz w:val="20"/>
          <w:szCs w:val="20"/>
          <w:lang w:val="fr-FR"/>
        </w:rPr>
        <w:t xml:space="preserve"> des technologies de l'information, lorsque des mesures de d</w:t>
      </w:r>
      <w:r w:rsidRPr="00FC791F">
        <w:rPr>
          <w:rFonts w:ascii="Verdana" w:hAnsi="Verdana"/>
          <w:sz w:val="20"/>
          <w:szCs w:val="20"/>
          <w:lang w:val="fr-FR"/>
        </w:rPr>
        <w:t>é</w:t>
      </w:r>
      <w:r w:rsidRPr="00FC791F">
        <w:rPr>
          <w:rFonts w:ascii="Verdana" w:hAnsi="Verdana"/>
          <w:sz w:val="20"/>
          <w:szCs w:val="20"/>
          <w:lang w:val="fr-FR"/>
        </w:rPr>
        <w:t>tection, d'investigation et de contrôle sont mises en œuvre par les autorités publiques et les institutions privées dans l'exercice de leur fonction ou de leur activité " (</w:t>
      </w:r>
      <w:r w:rsidRPr="00FC791F">
        <w:rPr>
          <w:rFonts w:ascii="Verdana" w:hAnsi="Verdana"/>
          <w:i/>
          <w:iCs/>
          <w:sz w:val="20"/>
          <w:szCs w:val="20"/>
          <w:lang w:val="fr-FR"/>
        </w:rPr>
        <w:t>Parl. St. Pierre, B.Z</w:t>
      </w:r>
      <w:r w:rsidRPr="00FC791F">
        <w:rPr>
          <w:rFonts w:ascii="Verdana" w:hAnsi="Verdana"/>
          <w:sz w:val="20"/>
          <w:szCs w:val="20"/>
          <w:lang w:val="fr-FR"/>
        </w:rPr>
        <w:t>., 1991, p. 1), Sénat, B.Z. 1991-1992, n° 100-4/2°, p. 3).</w:t>
      </w:r>
    </w:p>
    <w:p w14:paraId="6A8D9D7B" w14:textId="77777777" w:rsidR="00A0518F" w:rsidRPr="00FC791F" w:rsidRDefault="00A0518F" w:rsidP="00C03246">
      <w:pPr>
        <w:pStyle w:val="Sansinterligne"/>
        <w:spacing w:line="20" w:lineRule="atLeast"/>
        <w:jc w:val="both"/>
        <w:rPr>
          <w:rFonts w:ascii="Verdana" w:hAnsi="Verdana"/>
          <w:sz w:val="20"/>
          <w:szCs w:val="20"/>
          <w:lang w:val="fr-FR"/>
        </w:rPr>
      </w:pPr>
    </w:p>
    <w:p w14:paraId="35495D44" w14:textId="21844667" w:rsidR="00D25017" w:rsidRPr="00FC791F" w:rsidRDefault="00280590"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La préparation parlementaire de l'article 22 de la Constitution montre que le Constituant a voulu réaliser la plus grande concordance possible avec l'article 8 de la Convention e</w:t>
      </w:r>
      <w:r w:rsidRPr="00FC791F">
        <w:rPr>
          <w:rFonts w:ascii="Verdana" w:hAnsi="Verdana"/>
          <w:sz w:val="20"/>
          <w:szCs w:val="20"/>
          <w:lang w:val="fr-FR"/>
        </w:rPr>
        <w:t>u</w:t>
      </w:r>
      <w:r w:rsidRPr="00FC791F">
        <w:rPr>
          <w:rFonts w:ascii="Verdana" w:hAnsi="Verdana"/>
          <w:sz w:val="20"/>
          <w:szCs w:val="20"/>
          <w:lang w:val="fr-FR"/>
        </w:rPr>
        <w:t>ropéenne des droits de l'homme (</w:t>
      </w:r>
      <w:r w:rsidRPr="00FC791F">
        <w:rPr>
          <w:rFonts w:ascii="Verdana" w:hAnsi="Verdana"/>
          <w:i/>
          <w:iCs/>
          <w:sz w:val="20"/>
          <w:szCs w:val="20"/>
          <w:lang w:val="fr-FR"/>
        </w:rPr>
        <w:t>Parl. St.</w:t>
      </w:r>
      <w:r w:rsidRPr="00FC791F">
        <w:rPr>
          <w:rFonts w:ascii="Verdana" w:hAnsi="Verdana"/>
          <w:sz w:val="20"/>
          <w:szCs w:val="20"/>
          <w:lang w:val="fr-FR"/>
        </w:rPr>
        <w:t>, Chambre, 1992-1993, n° 997/5, p. 2).</w:t>
      </w:r>
    </w:p>
    <w:p w14:paraId="21B2BB3D" w14:textId="77777777" w:rsidR="00D25017" w:rsidRPr="00FC791F" w:rsidRDefault="00D25017" w:rsidP="00C03246">
      <w:pPr>
        <w:pStyle w:val="Sansinterligne"/>
        <w:spacing w:line="20" w:lineRule="atLeast"/>
        <w:jc w:val="both"/>
        <w:rPr>
          <w:rFonts w:ascii="Verdana" w:hAnsi="Verdana"/>
          <w:sz w:val="20"/>
          <w:szCs w:val="20"/>
          <w:lang w:val="fr-FR"/>
        </w:rPr>
      </w:pPr>
    </w:p>
    <w:p w14:paraId="2E92EE5F" w14:textId="544F8375" w:rsidR="008618EB" w:rsidRPr="00FC791F" w:rsidRDefault="003B099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20</w:t>
      </w:r>
      <w:r w:rsidR="00BA508C" w:rsidRPr="00FC791F">
        <w:rPr>
          <w:rFonts w:ascii="Verdana" w:hAnsi="Verdana"/>
          <w:sz w:val="20"/>
          <w:szCs w:val="20"/>
          <w:lang w:val="fr-FR"/>
        </w:rPr>
        <w:t>.</w:t>
      </w:r>
    </w:p>
    <w:p w14:paraId="0FD6A63B" w14:textId="35F13F7F" w:rsidR="00280590" w:rsidRPr="00FC791F" w:rsidRDefault="00280590"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En vertu de l'article 191, paragraphe 2, du traité sur le fonctionnement de l'Union eur</w:t>
      </w:r>
      <w:r w:rsidRPr="00FC791F">
        <w:rPr>
          <w:rFonts w:ascii="Verdana" w:hAnsi="Verdana"/>
          <w:sz w:val="20"/>
          <w:szCs w:val="20"/>
          <w:lang w:val="fr-FR"/>
        </w:rPr>
        <w:t>o</w:t>
      </w:r>
      <w:r w:rsidRPr="00FC791F">
        <w:rPr>
          <w:rFonts w:ascii="Verdana" w:hAnsi="Verdana"/>
          <w:sz w:val="20"/>
          <w:szCs w:val="20"/>
          <w:lang w:val="fr-FR"/>
        </w:rPr>
        <w:t xml:space="preserve">péenne, la politique de l'Union en matière d'environnement est fondée, entre autres, sur le </w:t>
      </w:r>
      <w:r w:rsidRPr="00FC791F">
        <w:rPr>
          <w:rFonts w:ascii="Verdana" w:hAnsi="Verdana"/>
          <w:b/>
          <w:bCs/>
          <w:sz w:val="20"/>
          <w:szCs w:val="20"/>
          <w:lang w:val="fr-FR"/>
        </w:rPr>
        <w:t>principe de précaution</w:t>
      </w:r>
      <w:r w:rsidRPr="00FC791F">
        <w:rPr>
          <w:rFonts w:ascii="Verdana" w:hAnsi="Verdana"/>
          <w:sz w:val="20"/>
          <w:szCs w:val="20"/>
          <w:lang w:val="fr-FR"/>
        </w:rPr>
        <w:t>. Ce principe n'est pas défini en détail dans cette disposition, mais</w:t>
      </w:r>
      <w:r w:rsidR="002874BB">
        <w:rPr>
          <w:rFonts w:ascii="Verdana" w:hAnsi="Verdana"/>
          <w:sz w:val="20"/>
          <w:szCs w:val="20"/>
          <w:lang w:val="fr-FR"/>
        </w:rPr>
        <w:t>,</w:t>
      </w:r>
      <w:r w:rsidRPr="00FC791F">
        <w:rPr>
          <w:rFonts w:ascii="Verdana" w:hAnsi="Verdana"/>
          <w:sz w:val="20"/>
          <w:szCs w:val="20"/>
          <w:lang w:val="fr-FR"/>
        </w:rPr>
        <w:t xml:space="preserve"> tel qu'interprété par la jurisprudence de la Cour de justice, il signifie que, en cas d'incertitude quant à l'existence ou à l'ampleur de risques pour la santé humaine, des mesures de protection peuvent être prises sans devoir attendre que la réalité et la grav</w:t>
      </w:r>
      <w:r w:rsidRPr="00FC791F">
        <w:rPr>
          <w:rFonts w:ascii="Verdana" w:hAnsi="Verdana"/>
          <w:sz w:val="20"/>
          <w:szCs w:val="20"/>
          <w:lang w:val="fr-FR"/>
        </w:rPr>
        <w:t>i</w:t>
      </w:r>
      <w:r w:rsidRPr="00FC791F">
        <w:rPr>
          <w:rFonts w:ascii="Verdana" w:hAnsi="Verdana"/>
          <w:sz w:val="20"/>
          <w:szCs w:val="20"/>
          <w:lang w:val="fr-FR"/>
        </w:rPr>
        <w:t>té de ces risques soient pleinement démontrées (CJCE, 9 septembre 2003, Monsanto Agricoltura Italia e.a., C-236/01, point 111 ; 26 mai 2005, Codacons et Federconsumat</w:t>
      </w:r>
      <w:r w:rsidRPr="00FC791F">
        <w:rPr>
          <w:rFonts w:ascii="Verdana" w:hAnsi="Verdana"/>
          <w:sz w:val="20"/>
          <w:szCs w:val="20"/>
          <w:lang w:val="fr-FR"/>
        </w:rPr>
        <w:t>o</w:t>
      </w:r>
      <w:r w:rsidRPr="00FC791F">
        <w:rPr>
          <w:rFonts w:ascii="Verdana" w:hAnsi="Verdana"/>
          <w:sz w:val="20"/>
          <w:szCs w:val="20"/>
          <w:lang w:val="fr-FR"/>
        </w:rPr>
        <w:t>ri, C-132/03, point 61 ; 12 janvier 2006, Agrarproduktion Staebelow, C-504/04, point 39 ; 10 avril 2014, Acino AG, C-269/13, point 57)</w:t>
      </w:r>
      <w:r w:rsidR="002874BB">
        <w:rPr>
          <w:rFonts w:ascii="Verdana" w:hAnsi="Verdana"/>
          <w:sz w:val="20"/>
          <w:szCs w:val="20"/>
          <w:lang w:val="fr-FR"/>
        </w:rPr>
        <w:t>.</w:t>
      </w:r>
      <w:r w:rsidRPr="00FC791F">
        <w:rPr>
          <w:rFonts w:ascii="Verdana" w:hAnsi="Verdana"/>
          <w:sz w:val="20"/>
          <w:szCs w:val="20"/>
          <w:lang w:val="fr-FR"/>
        </w:rPr>
        <w:t xml:space="preserve"> Si la Cour de justice a déjà jugé que l'a</w:t>
      </w:r>
      <w:r w:rsidRPr="00FC791F">
        <w:rPr>
          <w:rFonts w:ascii="Verdana" w:hAnsi="Verdana"/>
          <w:sz w:val="20"/>
          <w:szCs w:val="20"/>
          <w:lang w:val="fr-FR"/>
        </w:rPr>
        <w:t>p</w:t>
      </w:r>
      <w:r w:rsidRPr="00FC791F">
        <w:rPr>
          <w:rFonts w:ascii="Verdana" w:hAnsi="Verdana"/>
          <w:sz w:val="20"/>
          <w:szCs w:val="20"/>
          <w:lang w:val="fr-FR"/>
        </w:rPr>
        <w:t xml:space="preserve">préciation du risque ne peut être fondée sur des considérations purement hypothétiques, elle a toutefois ajouté que, lorsqu'il s'avère impossible de déterminer avec certitude l'existence </w:t>
      </w:r>
      <w:r w:rsidR="00C33158">
        <w:rPr>
          <w:rFonts w:ascii="Verdana" w:hAnsi="Verdana"/>
          <w:sz w:val="20"/>
          <w:szCs w:val="20"/>
          <w:lang w:val="fr-FR"/>
        </w:rPr>
        <w:t xml:space="preserve">ou l'ampleur du risque allégué </w:t>
      </w:r>
      <w:r w:rsidRPr="00FC791F">
        <w:rPr>
          <w:rFonts w:ascii="Verdana" w:hAnsi="Verdana"/>
          <w:sz w:val="20"/>
          <w:szCs w:val="20"/>
          <w:lang w:val="fr-FR"/>
        </w:rPr>
        <w:t>parce que les résultats des études sont insuff</w:t>
      </w:r>
      <w:r w:rsidRPr="00FC791F">
        <w:rPr>
          <w:rFonts w:ascii="Verdana" w:hAnsi="Verdana"/>
          <w:sz w:val="20"/>
          <w:szCs w:val="20"/>
          <w:lang w:val="fr-FR"/>
        </w:rPr>
        <w:t>i</w:t>
      </w:r>
      <w:r w:rsidRPr="00FC791F">
        <w:rPr>
          <w:rFonts w:ascii="Verdana" w:hAnsi="Verdana"/>
          <w:sz w:val="20"/>
          <w:szCs w:val="20"/>
          <w:lang w:val="fr-FR"/>
        </w:rPr>
        <w:t>sants, non concluants ou imprécis, mais qu'un dommage réel à la santé publique reste probable si le risque se matérialise, le principe de précaution justifie l'adoption de m</w:t>
      </w:r>
      <w:r w:rsidRPr="00FC791F">
        <w:rPr>
          <w:rFonts w:ascii="Verdana" w:hAnsi="Verdana"/>
          <w:sz w:val="20"/>
          <w:szCs w:val="20"/>
          <w:lang w:val="fr-FR"/>
        </w:rPr>
        <w:t>e</w:t>
      </w:r>
      <w:r w:rsidRPr="00FC791F">
        <w:rPr>
          <w:rFonts w:ascii="Verdana" w:hAnsi="Verdana"/>
          <w:sz w:val="20"/>
          <w:szCs w:val="20"/>
          <w:lang w:val="fr-FR"/>
        </w:rPr>
        <w:t>sures restrictives (CJCE, 23 septembre 2003, Commission contre Danemark, C-192/01, paragraphes 49 et 52 ; 28 janvier 2010, Commission/France, C-333/08, point 93 ; 10 avril 2014, Acino AG, C-269/13, point 57).</w:t>
      </w:r>
    </w:p>
    <w:p w14:paraId="38B3E4AD" w14:textId="77777777" w:rsidR="00280590" w:rsidRPr="00FC791F" w:rsidRDefault="00280590" w:rsidP="00C03246">
      <w:pPr>
        <w:pStyle w:val="Sansinterligne"/>
        <w:spacing w:line="20" w:lineRule="atLeast"/>
        <w:jc w:val="both"/>
        <w:rPr>
          <w:rFonts w:ascii="Verdana" w:hAnsi="Verdana"/>
          <w:sz w:val="20"/>
          <w:szCs w:val="20"/>
          <w:lang w:val="fr-FR"/>
        </w:rPr>
      </w:pPr>
    </w:p>
    <w:p w14:paraId="2AE0A461" w14:textId="46E99D89" w:rsidR="00501A4D" w:rsidRPr="00FC791F" w:rsidRDefault="00A0518F"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 xml:space="preserve">La Région flamande </w:t>
      </w:r>
      <w:r w:rsidR="006D3DED" w:rsidRPr="00FC791F">
        <w:rPr>
          <w:rFonts w:ascii="Verdana" w:hAnsi="Verdana"/>
          <w:sz w:val="20"/>
          <w:szCs w:val="20"/>
          <w:lang w:val="fr-FR"/>
        </w:rPr>
        <w:t>et la Région de Bruxelles-Capitale se réfèrent souvent au droit eur</w:t>
      </w:r>
      <w:r w:rsidR="006D3DED" w:rsidRPr="00FC791F">
        <w:rPr>
          <w:rFonts w:ascii="Verdana" w:hAnsi="Verdana"/>
          <w:sz w:val="20"/>
          <w:szCs w:val="20"/>
          <w:lang w:val="fr-FR"/>
        </w:rPr>
        <w:t>o</w:t>
      </w:r>
      <w:r w:rsidR="006D3DED" w:rsidRPr="00FC791F">
        <w:rPr>
          <w:rFonts w:ascii="Verdana" w:hAnsi="Verdana"/>
          <w:sz w:val="20"/>
          <w:szCs w:val="20"/>
          <w:lang w:val="fr-FR"/>
        </w:rPr>
        <w:t xml:space="preserve">péen dans l'élaboration de leurs politiques. La recommandation 1999/591/CE du Conseil et la </w:t>
      </w:r>
      <w:r w:rsidR="00962A68">
        <w:rPr>
          <w:rFonts w:ascii="Verdana" w:hAnsi="Verdana"/>
          <w:sz w:val="20"/>
          <w:szCs w:val="20"/>
          <w:lang w:val="fr-FR"/>
        </w:rPr>
        <w:t>D</w:t>
      </w:r>
      <w:r w:rsidR="006D3DED" w:rsidRPr="00FC791F">
        <w:rPr>
          <w:rFonts w:ascii="Verdana" w:hAnsi="Verdana"/>
          <w:sz w:val="20"/>
          <w:szCs w:val="20"/>
          <w:lang w:val="fr-FR"/>
        </w:rPr>
        <w:t xml:space="preserve">irective </w:t>
      </w:r>
      <w:r w:rsidR="00280590" w:rsidRPr="00FC791F">
        <w:rPr>
          <w:rFonts w:ascii="Verdana" w:hAnsi="Verdana"/>
          <w:sz w:val="20"/>
          <w:szCs w:val="20"/>
          <w:lang w:val="fr-FR"/>
        </w:rPr>
        <w:t xml:space="preserve">(UE) 2018/1972 </w:t>
      </w:r>
      <w:r w:rsidR="006D3DED" w:rsidRPr="00FC791F">
        <w:rPr>
          <w:rFonts w:ascii="Verdana" w:hAnsi="Verdana"/>
          <w:sz w:val="20"/>
          <w:szCs w:val="20"/>
          <w:lang w:val="fr-FR"/>
        </w:rPr>
        <w:t xml:space="preserve">du Parlement européen et du Conseil </w:t>
      </w:r>
      <w:r w:rsidR="00280590" w:rsidRPr="00FC791F">
        <w:rPr>
          <w:rFonts w:ascii="Verdana" w:hAnsi="Verdana"/>
          <w:sz w:val="20"/>
          <w:szCs w:val="20"/>
          <w:lang w:val="fr-FR"/>
        </w:rPr>
        <w:t xml:space="preserve">du 11 décembre 2018 </w:t>
      </w:r>
      <w:r w:rsidR="00962A68" w:rsidRPr="00962A68">
        <w:rPr>
          <w:rFonts w:ascii="Verdana" w:hAnsi="Verdana"/>
          <w:sz w:val="20"/>
          <w:szCs w:val="20"/>
          <w:lang w:val="fr-FR"/>
        </w:rPr>
        <w:t>établissant le code des communications électroniques européen</w:t>
      </w:r>
      <w:r w:rsidR="00962A68">
        <w:rPr>
          <w:rFonts w:ascii="Verdana" w:hAnsi="Verdana"/>
          <w:sz w:val="20"/>
          <w:szCs w:val="20"/>
          <w:lang w:val="fr-FR"/>
        </w:rPr>
        <w:t xml:space="preserve"> </w:t>
      </w:r>
      <w:r w:rsidR="00501A4D" w:rsidRPr="00FC791F">
        <w:rPr>
          <w:rFonts w:ascii="Verdana" w:hAnsi="Verdana"/>
          <w:sz w:val="20"/>
          <w:szCs w:val="20"/>
          <w:lang w:val="fr-FR"/>
        </w:rPr>
        <w:t xml:space="preserve">sont </w:t>
      </w:r>
      <w:r w:rsidR="00B53E61" w:rsidRPr="00FC791F">
        <w:rPr>
          <w:rFonts w:ascii="Verdana" w:hAnsi="Verdana"/>
          <w:sz w:val="20"/>
          <w:szCs w:val="20"/>
          <w:lang w:val="fr-FR"/>
        </w:rPr>
        <w:t xml:space="preserve">pertinentes à cet </w:t>
      </w:r>
      <w:r w:rsidR="006D3DED" w:rsidRPr="00FC791F">
        <w:rPr>
          <w:rFonts w:ascii="Verdana" w:hAnsi="Verdana"/>
          <w:sz w:val="20"/>
          <w:szCs w:val="20"/>
          <w:lang w:val="fr-FR"/>
        </w:rPr>
        <w:t xml:space="preserve">égard. </w:t>
      </w:r>
    </w:p>
    <w:p w14:paraId="60E7F171" w14:textId="77777777" w:rsidR="00501A4D" w:rsidRPr="00FC791F" w:rsidRDefault="00501A4D" w:rsidP="00C03246">
      <w:pPr>
        <w:pStyle w:val="Sansinterligne"/>
        <w:spacing w:line="20" w:lineRule="atLeast"/>
        <w:jc w:val="both"/>
        <w:rPr>
          <w:rFonts w:ascii="Verdana" w:hAnsi="Verdana"/>
          <w:sz w:val="20"/>
          <w:szCs w:val="20"/>
          <w:lang w:val="fr-FR"/>
        </w:rPr>
      </w:pPr>
    </w:p>
    <w:p w14:paraId="20811DE7" w14:textId="1F323F79" w:rsidR="006D3DED" w:rsidRPr="00FC791F" w:rsidRDefault="006D3DED" w:rsidP="00C03246">
      <w:pPr>
        <w:pStyle w:val="Sansinterligne"/>
        <w:spacing w:line="20" w:lineRule="atLeast"/>
        <w:jc w:val="both"/>
        <w:rPr>
          <w:rFonts w:ascii="Verdana" w:hAnsi="Verdana"/>
          <w:sz w:val="20"/>
          <w:szCs w:val="20"/>
          <w:lang w:val="fr-FR"/>
        </w:rPr>
      </w:pPr>
      <w:r w:rsidRPr="007272F0">
        <w:rPr>
          <w:rFonts w:ascii="Verdana" w:hAnsi="Verdana"/>
          <w:sz w:val="20"/>
          <w:szCs w:val="20"/>
          <w:lang w:val="fr-FR"/>
        </w:rPr>
        <w:t xml:space="preserve">Cependant, ces instruments juridiques </w:t>
      </w:r>
      <w:r w:rsidR="007272F0" w:rsidRPr="007272F0">
        <w:rPr>
          <w:rFonts w:ascii="Verdana" w:hAnsi="Verdana"/>
          <w:sz w:val="20"/>
          <w:szCs w:val="20"/>
          <w:lang w:val="fr-FR"/>
        </w:rPr>
        <w:t>connaissent des maladies similaires.</w:t>
      </w:r>
      <w:r w:rsidRPr="00FC791F">
        <w:rPr>
          <w:rFonts w:ascii="Verdana" w:hAnsi="Verdana"/>
          <w:sz w:val="20"/>
          <w:szCs w:val="20"/>
          <w:lang w:val="fr-FR"/>
        </w:rPr>
        <w:t xml:space="preserve"> </w:t>
      </w:r>
    </w:p>
    <w:p w14:paraId="48F8C828" w14:textId="675AA71D" w:rsidR="00501A4D" w:rsidRPr="00FC791F" w:rsidRDefault="006D3DED"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 xml:space="preserve">La recommandation du Conseil date de 1999 et se concentre </w:t>
      </w:r>
      <w:r w:rsidR="0020568D" w:rsidRPr="00FC791F">
        <w:rPr>
          <w:rFonts w:ascii="Verdana" w:hAnsi="Verdana"/>
          <w:sz w:val="20"/>
          <w:szCs w:val="20"/>
          <w:lang w:val="fr-FR"/>
        </w:rPr>
        <w:t xml:space="preserve">uniquement sur </w:t>
      </w:r>
      <w:r w:rsidR="009E0333" w:rsidRPr="00FC791F">
        <w:rPr>
          <w:rFonts w:ascii="Verdana" w:hAnsi="Verdana"/>
          <w:sz w:val="20"/>
          <w:szCs w:val="20"/>
          <w:lang w:val="fr-FR"/>
        </w:rPr>
        <w:t xml:space="preserve">les </w:t>
      </w:r>
      <w:r w:rsidRPr="00FC791F">
        <w:rPr>
          <w:rFonts w:ascii="Verdana" w:hAnsi="Verdana"/>
          <w:sz w:val="20"/>
          <w:szCs w:val="20"/>
          <w:lang w:val="fr-FR"/>
        </w:rPr>
        <w:t xml:space="preserve">effets thermiques d'une exposition à court terme de 6 minutes. </w:t>
      </w:r>
      <w:r w:rsidR="00501A4D" w:rsidRPr="00FC791F">
        <w:rPr>
          <w:rFonts w:ascii="Verdana" w:hAnsi="Verdana"/>
          <w:sz w:val="20"/>
          <w:szCs w:val="20"/>
          <w:lang w:val="fr-FR"/>
        </w:rPr>
        <w:t xml:space="preserve">Cette approche </w:t>
      </w:r>
      <w:r w:rsidRPr="00FC791F">
        <w:rPr>
          <w:rFonts w:ascii="Verdana" w:hAnsi="Verdana"/>
          <w:sz w:val="20"/>
          <w:szCs w:val="20"/>
          <w:lang w:val="fr-FR"/>
        </w:rPr>
        <w:t xml:space="preserve">est dépassée et </w:t>
      </w:r>
      <w:r w:rsidR="0020568D" w:rsidRPr="00FC791F">
        <w:rPr>
          <w:rFonts w:ascii="Verdana" w:hAnsi="Verdana"/>
          <w:sz w:val="20"/>
          <w:szCs w:val="20"/>
          <w:lang w:val="fr-FR"/>
        </w:rPr>
        <w:lastRenderedPageBreak/>
        <w:t xml:space="preserve">ne tient pas compte de </w:t>
      </w:r>
      <w:r w:rsidRPr="00FC791F">
        <w:rPr>
          <w:rFonts w:ascii="Verdana" w:hAnsi="Verdana"/>
          <w:sz w:val="20"/>
          <w:szCs w:val="20"/>
          <w:lang w:val="fr-FR"/>
        </w:rPr>
        <w:t xml:space="preserve">l'évolution des connaissances scientifiques au </w:t>
      </w:r>
      <w:r w:rsidR="00501A4D" w:rsidRPr="00FC791F">
        <w:rPr>
          <w:rFonts w:ascii="Verdana" w:hAnsi="Verdana"/>
          <w:sz w:val="20"/>
          <w:szCs w:val="20"/>
          <w:lang w:val="fr-FR"/>
        </w:rPr>
        <w:t>cours des deux dernières décennies</w:t>
      </w:r>
      <w:r w:rsidRPr="00FC791F">
        <w:rPr>
          <w:rFonts w:ascii="Verdana" w:hAnsi="Verdana"/>
          <w:sz w:val="20"/>
          <w:szCs w:val="20"/>
          <w:lang w:val="fr-FR"/>
        </w:rPr>
        <w:t xml:space="preserve">. </w:t>
      </w:r>
    </w:p>
    <w:p w14:paraId="0388D431" w14:textId="715AB09B" w:rsidR="00501A4D" w:rsidRPr="00FC791F" w:rsidRDefault="006D3DED"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 xml:space="preserve">Néanmoins, </w:t>
      </w:r>
      <w:r w:rsidR="009E0333" w:rsidRPr="00FC791F">
        <w:rPr>
          <w:rFonts w:ascii="Verdana" w:hAnsi="Verdana"/>
          <w:sz w:val="20"/>
          <w:szCs w:val="20"/>
          <w:lang w:val="fr-FR"/>
        </w:rPr>
        <w:t xml:space="preserve">cette recommandation constitue toujours la base </w:t>
      </w:r>
      <w:r w:rsidRPr="00FC791F">
        <w:rPr>
          <w:rFonts w:ascii="Verdana" w:hAnsi="Verdana"/>
          <w:sz w:val="20"/>
          <w:szCs w:val="20"/>
          <w:lang w:val="fr-FR"/>
        </w:rPr>
        <w:t xml:space="preserve">scientifique </w:t>
      </w:r>
      <w:r w:rsidR="009E0333" w:rsidRPr="00FC791F">
        <w:rPr>
          <w:rFonts w:ascii="Verdana" w:hAnsi="Verdana"/>
          <w:sz w:val="20"/>
          <w:szCs w:val="20"/>
          <w:lang w:val="fr-FR"/>
        </w:rPr>
        <w:t xml:space="preserve">des </w:t>
      </w:r>
      <w:r w:rsidRPr="00FC791F">
        <w:rPr>
          <w:rFonts w:ascii="Verdana" w:hAnsi="Verdana"/>
          <w:sz w:val="20"/>
          <w:szCs w:val="20"/>
          <w:lang w:val="fr-FR"/>
        </w:rPr>
        <w:t>considér</w:t>
      </w:r>
      <w:r w:rsidRPr="00FC791F">
        <w:rPr>
          <w:rFonts w:ascii="Verdana" w:hAnsi="Verdana"/>
          <w:sz w:val="20"/>
          <w:szCs w:val="20"/>
          <w:lang w:val="fr-FR"/>
        </w:rPr>
        <w:t>a</w:t>
      </w:r>
      <w:r w:rsidRPr="00FC791F">
        <w:rPr>
          <w:rFonts w:ascii="Verdana" w:hAnsi="Verdana"/>
          <w:sz w:val="20"/>
          <w:szCs w:val="20"/>
          <w:lang w:val="fr-FR"/>
        </w:rPr>
        <w:t xml:space="preserve">tions de santé publique énoncées </w:t>
      </w:r>
      <w:r w:rsidR="009E0333" w:rsidRPr="00FC791F">
        <w:rPr>
          <w:rFonts w:ascii="Verdana" w:hAnsi="Verdana"/>
          <w:sz w:val="20"/>
          <w:szCs w:val="20"/>
          <w:lang w:val="fr-FR"/>
        </w:rPr>
        <w:t xml:space="preserve">dans la directive 2018/1972. La directive 2018/1972 est donc également basée sur des </w:t>
      </w:r>
      <w:r w:rsidR="00501A4D" w:rsidRPr="00FC791F">
        <w:rPr>
          <w:rFonts w:ascii="Verdana" w:hAnsi="Verdana"/>
          <w:sz w:val="20"/>
          <w:szCs w:val="20"/>
          <w:lang w:val="fr-FR"/>
        </w:rPr>
        <w:t>connaissances dépassées qui ne protègent plus les humains, les plantes</w:t>
      </w:r>
      <w:r w:rsidR="009E0333" w:rsidRPr="00FC791F">
        <w:rPr>
          <w:rFonts w:ascii="Verdana" w:hAnsi="Verdana"/>
          <w:sz w:val="20"/>
          <w:szCs w:val="20"/>
          <w:lang w:val="fr-FR"/>
        </w:rPr>
        <w:t xml:space="preserve">, les </w:t>
      </w:r>
      <w:r w:rsidR="00501A4D" w:rsidRPr="00FC791F">
        <w:rPr>
          <w:rFonts w:ascii="Verdana" w:hAnsi="Verdana"/>
          <w:sz w:val="20"/>
          <w:szCs w:val="20"/>
          <w:lang w:val="fr-FR"/>
        </w:rPr>
        <w:t xml:space="preserve">animaux </w:t>
      </w:r>
      <w:r w:rsidR="009E0333" w:rsidRPr="00FC791F">
        <w:rPr>
          <w:rFonts w:ascii="Verdana" w:hAnsi="Verdana"/>
          <w:sz w:val="20"/>
          <w:szCs w:val="20"/>
          <w:lang w:val="fr-FR"/>
        </w:rPr>
        <w:t>et l'environnement</w:t>
      </w:r>
      <w:r w:rsidR="00501A4D" w:rsidRPr="00FC791F">
        <w:rPr>
          <w:rFonts w:ascii="Verdana" w:hAnsi="Verdana"/>
          <w:sz w:val="20"/>
          <w:szCs w:val="20"/>
          <w:lang w:val="fr-FR"/>
        </w:rPr>
        <w:t xml:space="preserve">. </w:t>
      </w:r>
    </w:p>
    <w:p w14:paraId="1ECCC221" w14:textId="77777777" w:rsidR="00501A4D" w:rsidRPr="00FC791F" w:rsidRDefault="00501A4D" w:rsidP="00C03246">
      <w:pPr>
        <w:pStyle w:val="Sansinterligne"/>
        <w:spacing w:line="20" w:lineRule="atLeast"/>
        <w:jc w:val="both"/>
        <w:rPr>
          <w:rFonts w:ascii="Verdana" w:hAnsi="Verdana"/>
          <w:sz w:val="20"/>
          <w:szCs w:val="20"/>
          <w:lang w:val="fr-FR"/>
        </w:rPr>
      </w:pPr>
    </w:p>
    <w:p w14:paraId="2CFEAFFD" w14:textId="4D63AD36" w:rsidR="00280590" w:rsidRPr="00FC791F" w:rsidRDefault="009E0333"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 xml:space="preserve">Les </w:t>
      </w:r>
      <w:r w:rsidR="00A0518F" w:rsidRPr="00FC791F">
        <w:rPr>
          <w:rFonts w:ascii="Verdana" w:hAnsi="Verdana"/>
          <w:sz w:val="20"/>
          <w:szCs w:val="20"/>
          <w:lang w:val="fr-FR"/>
        </w:rPr>
        <w:t xml:space="preserve">requérants estiment donc </w:t>
      </w:r>
      <w:r w:rsidRPr="00FC791F">
        <w:rPr>
          <w:rFonts w:ascii="Verdana" w:hAnsi="Verdana"/>
          <w:sz w:val="20"/>
          <w:szCs w:val="20"/>
          <w:lang w:val="fr-FR"/>
        </w:rPr>
        <w:t xml:space="preserve">que la législation européenne en vigueur viole un certain nombre de principes </w:t>
      </w:r>
      <w:r w:rsidR="00962A68">
        <w:rPr>
          <w:rFonts w:ascii="Verdana" w:hAnsi="Verdana"/>
          <w:sz w:val="20"/>
          <w:szCs w:val="20"/>
          <w:lang w:val="fr-FR"/>
        </w:rPr>
        <w:t xml:space="preserve">juridiques </w:t>
      </w:r>
      <w:r w:rsidRPr="00FC791F">
        <w:rPr>
          <w:rFonts w:ascii="Verdana" w:hAnsi="Verdana"/>
          <w:sz w:val="20"/>
          <w:szCs w:val="20"/>
          <w:lang w:val="fr-FR"/>
        </w:rPr>
        <w:t xml:space="preserve">primaires de l'Union européenne. </w:t>
      </w:r>
      <w:r w:rsidR="00962A68">
        <w:rPr>
          <w:rFonts w:ascii="Verdana" w:hAnsi="Verdana"/>
          <w:sz w:val="20"/>
          <w:szCs w:val="20"/>
          <w:lang w:val="fr-FR"/>
        </w:rPr>
        <w:t>Plus précisément, i</w:t>
      </w:r>
      <w:r w:rsidRPr="00FC791F">
        <w:rPr>
          <w:rFonts w:ascii="Verdana" w:hAnsi="Verdana"/>
          <w:sz w:val="20"/>
          <w:szCs w:val="20"/>
          <w:lang w:val="fr-FR"/>
        </w:rPr>
        <w:t xml:space="preserve">ls invoquent </w:t>
      </w:r>
      <w:r w:rsidR="00280590" w:rsidRPr="00FC791F">
        <w:rPr>
          <w:rFonts w:ascii="Verdana" w:hAnsi="Verdana"/>
          <w:sz w:val="20"/>
          <w:szCs w:val="20"/>
          <w:lang w:val="fr-FR"/>
        </w:rPr>
        <w:t xml:space="preserve">le principe de précaution au titre de l'article 191 TFUE et des </w:t>
      </w:r>
      <w:r w:rsidRPr="00FC791F">
        <w:rPr>
          <w:rFonts w:ascii="Verdana" w:hAnsi="Verdana"/>
          <w:sz w:val="20"/>
          <w:szCs w:val="20"/>
          <w:lang w:val="fr-FR"/>
        </w:rPr>
        <w:t>articles 2</w:t>
      </w:r>
      <w:r w:rsidR="00962A68">
        <w:rPr>
          <w:rFonts w:ascii="Verdana" w:hAnsi="Verdana"/>
          <w:sz w:val="20"/>
          <w:szCs w:val="20"/>
          <w:lang w:val="fr-FR"/>
        </w:rPr>
        <w:t>(1)</w:t>
      </w:r>
      <w:r w:rsidRPr="00FC791F">
        <w:rPr>
          <w:rFonts w:ascii="Verdana" w:hAnsi="Verdana"/>
          <w:sz w:val="20"/>
          <w:szCs w:val="20"/>
          <w:lang w:val="fr-FR"/>
        </w:rPr>
        <w:t xml:space="preserve">, 3, 4, 6, 7 et 8 </w:t>
      </w:r>
      <w:r w:rsidR="00280590" w:rsidRPr="00FC791F">
        <w:rPr>
          <w:rFonts w:ascii="Verdana" w:hAnsi="Verdana"/>
          <w:sz w:val="20"/>
          <w:szCs w:val="20"/>
          <w:lang w:val="fr-FR"/>
        </w:rPr>
        <w:t xml:space="preserve">de la Charte des droits fondamentaux. </w:t>
      </w:r>
      <w:r w:rsidRPr="00FC791F">
        <w:rPr>
          <w:rFonts w:ascii="Verdana" w:hAnsi="Verdana"/>
          <w:sz w:val="20"/>
          <w:szCs w:val="20"/>
          <w:lang w:val="fr-FR"/>
        </w:rPr>
        <w:t xml:space="preserve">Par conséquent, </w:t>
      </w:r>
      <w:r w:rsidR="00A0518F" w:rsidRPr="00FC791F">
        <w:rPr>
          <w:rFonts w:ascii="Verdana" w:hAnsi="Verdana"/>
          <w:sz w:val="20"/>
          <w:szCs w:val="20"/>
          <w:lang w:val="fr-FR"/>
        </w:rPr>
        <w:t xml:space="preserve">les défendeurs </w:t>
      </w:r>
      <w:r w:rsidR="00501A4D" w:rsidRPr="00FC791F">
        <w:rPr>
          <w:rFonts w:ascii="Verdana" w:hAnsi="Verdana"/>
          <w:sz w:val="20"/>
          <w:szCs w:val="20"/>
          <w:lang w:val="fr-FR"/>
        </w:rPr>
        <w:t xml:space="preserve">ne peuvent plus </w:t>
      </w:r>
      <w:r w:rsidR="00D173A4" w:rsidRPr="00FC791F">
        <w:rPr>
          <w:rFonts w:ascii="Verdana" w:hAnsi="Verdana"/>
          <w:sz w:val="20"/>
          <w:szCs w:val="20"/>
          <w:lang w:val="fr-FR"/>
        </w:rPr>
        <w:t>s</w:t>
      </w:r>
      <w:r w:rsidR="00962A68">
        <w:rPr>
          <w:rFonts w:ascii="Verdana" w:hAnsi="Verdana"/>
          <w:sz w:val="20"/>
          <w:szCs w:val="20"/>
          <w:lang w:val="fr-FR"/>
        </w:rPr>
        <w:t>e fonder</w:t>
      </w:r>
      <w:r w:rsidR="00D173A4" w:rsidRPr="00FC791F">
        <w:rPr>
          <w:rFonts w:ascii="Verdana" w:hAnsi="Verdana"/>
          <w:sz w:val="20"/>
          <w:szCs w:val="20"/>
          <w:lang w:val="fr-FR"/>
        </w:rPr>
        <w:t xml:space="preserve"> </w:t>
      </w:r>
      <w:r w:rsidR="00501A4D" w:rsidRPr="00FC791F">
        <w:rPr>
          <w:rFonts w:ascii="Verdana" w:hAnsi="Verdana"/>
          <w:sz w:val="20"/>
          <w:szCs w:val="20"/>
          <w:lang w:val="fr-FR"/>
        </w:rPr>
        <w:t xml:space="preserve">sur la </w:t>
      </w:r>
      <w:r w:rsidR="00962A68">
        <w:rPr>
          <w:rFonts w:ascii="Verdana" w:hAnsi="Verdana"/>
          <w:sz w:val="20"/>
          <w:szCs w:val="20"/>
          <w:lang w:val="fr-FR"/>
        </w:rPr>
        <w:t>R</w:t>
      </w:r>
      <w:r w:rsidRPr="00FC791F">
        <w:rPr>
          <w:rFonts w:ascii="Verdana" w:hAnsi="Verdana"/>
          <w:sz w:val="20"/>
          <w:szCs w:val="20"/>
          <w:lang w:val="fr-FR"/>
        </w:rPr>
        <w:t xml:space="preserve">ecommandation </w:t>
      </w:r>
      <w:r w:rsidR="00D173A4" w:rsidRPr="00FC791F">
        <w:rPr>
          <w:rFonts w:ascii="Verdana" w:hAnsi="Verdana"/>
          <w:sz w:val="20"/>
          <w:szCs w:val="20"/>
          <w:lang w:val="fr-FR"/>
        </w:rPr>
        <w:t xml:space="preserve">1999/519, la directive 2018/1972 et toute législation européenne dérivée </w:t>
      </w:r>
      <w:r w:rsidR="00501A4D" w:rsidRPr="00FC791F">
        <w:rPr>
          <w:rFonts w:ascii="Verdana" w:hAnsi="Verdana"/>
          <w:sz w:val="20"/>
          <w:szCs w:val="20"/>
          <w:lang w:val="fr-FR"/>
        </w:rPr>
        <w:t xml:space="preserve">pour élaborer </w:t>
      </w:r>
      <w:r w:rsidR="00D173A4" w:rsidRPr="00FC791F">
        <w:rPr>
          <w:rFonts w:ascii="Verdana" w:hAnsi="Verdana"/>
          <w:sz w:val="20"/>
          <w:szCs w:val="20"/>
          <w:lang w:val="fr-FR"/>
        </w:rPr>
        <w:t xml:space="preserve">leurs </w:t>
      </w:r>
      <w:r w:rsidR="00962A68">
        <w:rPr>
          <w:rFonts w:ascii="Verdana" w:hAnsi="Verdana"/>
          <w:sz w:val="20"/>
          <w:szCs w:val="20"/>
          <w:lang w:val="fr-FR"/>
        </w:rPr>
        <w:t xml:space="preserve">valeurs </w:t>
      </w:r>
      <w:r w:rsidR="00D173A4" w:rsidRPr="00FC791F">
        <w:rPr>
          <w:rFonts w:ascii="Verdana" w:hAnsi="Verdana"/>
          <w:sz w:val="20"/>
          <w:szCs w:val="20"/>
          <w:lang w:val="fr-FR"/>
        </w:rPr>
        <w:t>limites</w:t>
      </w:r>
      <w:r w:rsidR="00501A4D" w:rsidRPr="00FC791F">
        <w:rPr>
          <w:rFonts w:ascii="Verdana" w:hAnsi="Verdana"/>
          <w:sz w:val="20"/>
          <w:szCs w:val="20"/>
          <w:lang w:val="fr-FR"/>
        </w:rPr>
        <w:t>.</w:t>
      </w:r>
    </w:p>
    <w:p w14:paraId="6D3BE905" w14:textId="77777777" w:rsidR="00280590" w:rsidRPr="00FC791F" w:rsidRDefault="00280590" w:rsidP="00C03246">
      <w:pPr>
        <w:pStyle w:val="Sansinterligne"/>
        <w:spacing w:line="20" w:lineRule="atLeast"/>
        <w:jc w:val="both"/>
        <w:rPr>
          <w:rFonts w:ascii="Verdana" w:hAnsi="Verdana"/>
          <w:sz w:val="20"/>
          <w:szCs w:val="20"/>
          <w:lang w:val="fr-FR"/>
        </w:rPr>
      </w:pPr>
    </w:p>
    <w:p w14:paraId="055625B4" w14:textId="65495A74" w:rsidR="004B3B5D" w:rsidRDefault="003B0994" w:rsidP="00C03246">
      <w:pPr>
        <w:spacing w:after="0" w:line="20" w:lineRule="atLeast"/>
        <w:jc w:val="both"/>
        <w:rPr>
          <w:rFonts w:ascii="Verdana" w:hAnsi="Verdana"/>
          <w:sz w:val="20"/>
          <w:szCs w:val="20"/>
          <w:lang w:val="fr-FR"/>
        </w:rPr>
      </w:pPr>
      <w:r w:rsidRPr="00FC791F">
        <w:rPr>
          <w:rFonts w:ascii="Verdana" w:hAnsi="Verdana"/>
          <w:sz w:val="20"/>
          <w:szCs w:val="20"/>
          <w:lang w:val="fr-FR"/>
        </w:rPr>
        <w:t>21</w:t>
      </w:r>
      <w:r w:rsidR="004B3B5D" w:rsidRPr="00FC791F">
        <w:rPr>
          <w:rFonts w:ascii="Verdana" w:hAnsi="Verdana"/>
          <w:sz w:val="20"/>
          <w:szCs w:val="20"/>
          <w:lang w:val="fr-FR"/>
        </w:rPr>
        <w:t>.</w:t>
      </w:r>
      <w:r w:rsidR="00280590" w:rsidRPr="00FC791F">
        <w:rPr>
          <w:rFonts w:ascii="Verdana" w:hAnsi="Verdana"/>
          <w:sz w:val="20"/>
          <w:szCs w:val="20"/>
          <w:lang w:val="fr-FR"/>
        </w:rPr>
        <w:br/>
      </w:r>
      <w:r w:rsidR="004B3B5D" w:rsidRPr="00FC791F">
        <w:rPr>
          <w:rFonts w:ascii="Verdana" w:hAnsi="Verdana"/>
          <w:sz w:val="20"/>
          <w:szCs w:val="20"/>
          <w:lang w:val="fr-FR"/>
        </w:rPr>
        <w:t>Selon une jurisprudence constante de la Cour de justice de</w:t>
      </w:r>
      <w:r w:rsidR="00D747B0">
        <w:rPr>
          <w:rFonts w:ascii="Verdana" w:hAnsi="Verdana"/>
          <w:sz w:val="20"/>
          <w:szCs w:val="20"/>
          <w:lang w:val="fr-FR"/>
        </w:rPr>
        <w:t xml:space="preserve"> l’Union européenne</w:t>
      </w:r>
      <w:r w:rsidR="004B3B5D" w:rsidRPr="00FC791F">
        <w:rPr>
          <w:rFonts w:ascii="Verdana" w:hAnsi="Verdana"/>
          <w:sz w:val="20"/>
          <w:szCs w:val="20"/>
          <w:lang w:val="fr-FR"/>
        </w:rPr>
        <w:t>, les trib</w:t>
      </w:r>
      <w:r w:rsidR="004B3B5D" w:rsidRPr="00FC791F">
        <w:rPr>
          <w:rFonts w:ascii="Verdana" w:hAnsi="Verdana"/>
          <w:sz w:val="20"/>
          <w:szCs w:val="20"/>
          <w:lang w:val="fr-FR"/>
        </w:rPr>
        <w:t>u</w:t>
      </w:r>
      <w:r w:rsidR="004B3B5D" w:rsidRPr="00FC791F">
        <w:rPr>
          <w:rFonts w:ascii="Verdana" w:hAnsi="Verdana"/>
          <w:sz w:val="20"/>
          <w:szCs w:val="20"/>
          <w:lang w:val="fr-FR"/>
        </w:rPr>
        <w:t xml:space="preserve">naux nationaux peuvent contrôler la législation nationale au regard du droit européen (C-6/64, Costa contre Enel, ECLI:EU:C:1964:66). Le </w:t>
      </w:r>
      <w:r w:rsidR="00D747B0">
        <w:rPr>
          <w:rFonts w:ascii="Verdana" w:hAnsi="Verdana"/>
          <w:sz w:val="20"/>
          <w:szCs w:val="20"/>
          <w:lang w:val="fr-FR"/>
        </w:rPr>
        <w:t>D</w:t>
      </w:r>
      <w:r w:rsidR="004B3B5D" w:rsidRPr="00FC791F">
        <w:rPr>
          <w:rFonts w:ascii="Verdana" w:hAnsi="Verdana"/>
          <w:sz w:val="20"/>
          <w:szCs w:val="20"/>
          <w:lang w:val="fr-FR"/>
        </w:rPr>
        <w:t>roit européen prime également sur le droit national. Si les normes juridiques nationales violent les normes directement effe</w:t>
      </w:r>
      <w:r w:rsidR="004B3B5D" w:rsidRPr="00FC791F">
        <w:rPr>
          <w:rFonts w:ascii="Verdana" w:hAnsi="Verdana"/>
          <w:sz w:val="20"/>
          <w:szCs w:val="20"/>
          <w:lang w:val="fr-FR"/>
        </w:rPr>
        <w:t>c</w:t>
      </w:r>
      <w:r w:rsidR="004B3B5D" w:rsidRPr="00FC791F">
        <w:rPr>
          <w:rFonts w:ascii="Verdana" w:hAnsi="Verdana"/>
          <w:sz w:val="20"/>
          <w:szCs w:val="20"/>
          <w:lang w:val="fr-FR"/>
        </w:rPr>
        <w:t xml:space="preserve">tives du </w:t>
      </w:r>
      <w:r w:rsidR="00D747B0">
        <w:rPr>
          <w:rFonts w:ascii="Verdana" w:hAnsi="Verdana"/>
          <w:sz w:val="20"/>
          <w:szCs w:val="20"/>
          <w:lang w:val="fr-FR"/>
        </w:rPr>
        <w:t>D</w:t>
      </w:r>
      <w:r w:rsidR="004B3B5D" w:rsidRPr="00FC791F">
        <w:rPr>
          <w:rFonts w:ascii="Verdana" w:hAnsi="Verdana"/>
          <w:sz w:val="20"/>
          <w:szCs w:val="20"/>
          <w:lang w:val="fr-FR"/>
        </w:rPr>
        <w:t xml:space="preserve">roit européen, le tribunal doit mettre son interprétation en conformité avec le </w:t>
      </w:r>
      <w:r w:rsidR="00D747B0">
        <w:rPr>
          <w:rFonts w:ascii="Verdana" w:hAnsi="Verdana"/>
          <w:sz w:val="20"/>
          <w:szCs w:val="20"/>
          <w:lang w:val="fr-FR"/>
        </w:rPr>
        <w:t>D</w:t>
      </w:r>
      <w:r w:rsidR="004B3B5D" w:rsidRPr="00FC791F">
        <w:rPr>
          <w:rFonts w:ascii="Verdana" w:hAnsi="Verdana"/>
          <w:sz w:val="20"/>
          <w:szCs w:val="20"/>
          <w:lang w:val="fr-FR"/>
        </w:rPr>
        <w:t>roit européen. Si cela n'est pas possible, le tribunal doit ignorer les normes juridiques nationales pertinentes. Cette jurisprudence a été confirmée par la Cour de justice eur</w:t>
      </w:r>
      <w:r w:rsidR="004B3B5D" w:rsidRPr="00FC791F">
        <w:rPr>
          <w:rFonts w:ascii="Verdana" w:hAnsi="Verdana"/>
          <w:sz w:val="20"/>
          <w:szCs w:val="20"/>
          <w:lang w:val="fr-FR"/>
        </w:rPr>
        <w:t>o</w:t>
      </w:r>
      <w:r w:rsidR="004B3B5D" w:rsidRPr="00FC791F">
        <w:rPr>
          <w:rFonts w:ascii="Verdana" w:hAnsi="Verdana"/>
          <w:sz w:val="20"/>
          <w:szCs w:val="20"/>
          <w:lang w:val="fr-FR"/>
        </w:rPr>
        <w:t>péenne à de nombreuses reprises au cours des dernières décennies.</w:t>
      </w:r>
    </w:p>
    <w:p w14:paraId="054857F5" w14:textId="77777777" w:rsidR="000D2EC0" w:rsidRPr="00FC791F" w:rsidRDefault="000D2EC0" w:rsidP="00C03246">
      <w:pPr>
        <w:spacing w:after="0" w:line="20" w:lineRule="atLeast"/>
        <w:jc w:val="both"/>
        <w:rPr>
          <w:rFonts w:ascii="Verdana" w:hAnsi="Verdana"/>
          <w:sz w:val="20"/>
          <w:szCs w:val="20"/>
          <w:lang w:val="fr-FR"/>
        </w:rPr>
      </w:pPr>
    </w:p>
    <w:p w14:paraId="54F11A32" w14:textId="47BCD38D" w:rsidR="004B3B5D" w:rsidRDefault="004B3B5D" w:rsidP="00C03246">
      <w:pPr>
        <w:spacing w:after="0" w:line="20" w:lineRule="atLeast"/>
        <w:jc w:val="both"/>
        <w:rPr>
          <w:rFonts w:ascii="Verdana" w:hAnsi="Verdana"/>
          <w:sz w:val="20"/>
          <w:szCs w:val="20"/>
          <w:lang w:val="fr-FR"/>
        </w:rPr>
      </w:pPr>
      <w:r w:rsidRPr="00FC791F">
        <w:rPr>
          <w:rFonts w:ascii="Verdana" w:hAnsi="Verdana"/>
          <w:sz w:val="20"/>
          <w:szCs w:val="20"/>
          <w:lang w:val="fr-FR"/>
        </w:rPr>
        <w:t xml:space="preserve">Dans le célèbre arrêt "Le Ski" du 27 mai 1971, la Cour de cassation a traduit la priorité du </w:t>
      </w:r>
      <w:r w:rsidR="00D747B0">
        <w:rPr>
          <w:rFonts w:ascii="Verdana" w:hAnsi="Verdana"/>
          <w:sz w:val="20"/>
          <w:szCs w:val="20"/>
          <w:lang w:val="fr-FR"/>
        </w:rPr>
        <w:t>D</w:t>
      </w:r>
      <w:r w:rsidRPr="00FC791F">
        <w:rPr>
          <w:rFonts w:ascii="Verdana" w:hAnsi="Verdana"/>
          <w:sz w:val="20"/>
          <w:szCs w:val="20"/>
          <w:lang w:val="fr-FR"/>
        </w:rPr>
        <w:t xml:space="preserve">roit européen dans l'ordre juridique belge. L'arrêt confirme le devoir des juges belges d'écarter les règles nationales qui entrent en conflit avec les normes juridiques internationales directement applicables. </w:t>
      </w:r>
    </w:p>
    <w:p w14:paraId="47B97E29" w14:textId="77777777" w:rsidR="000D2EC0" w:rsidRPr="00FC791F" w:rsidRDefault="000D2EC0" w:rsidP="00C03246">
      <w:pPr>
        <w:spacing w:after="0" w:line="20" w:lineRule="atLeast"/>
        <w:jc w:val="both"/>
        <w:rPr>
          <w:rFonts w:ascii="Verdana" w:hAnsi="Verdana"/>
          <w:sz w:val="20"/>
          <w:szCs w:val="20"/>
          <w:lang w:val="fr-FR"/>
        </w:rPr>
      </w:pPr>
    </w:p>
    <w:p w14:paraId="70EF6C6D" w14:textId="002A7F1B" w:rsidR="004B3B5D" w:rsidRDefault="004B3B5D" w:rsidP="00C03246">
      <w:pPr>
        <w:spacing w:after="0" w:line="20" w:lineRule="atLeast"/>
        <w:jc w:val="both"/>
        <w:rPr>
          <w:rFonts w:ascii="Verdana" w:hAnsi="Verdana"/>
          <w:sz w:val="20"/>
          <w:szCs w:val="20"/>
          <w:lang w:val="fr-FR"/>
        </w:rPr>
      </w:pPr>
      <w:r w:rsidRPr="00FC791F">
        <w:rPr>
          <w:rFonts w:ascii="Verdana" w:hAnsi="Verdana"/>
          <w:sz w:val="20"/>
          <w:szCs w:val="20"/>
          <w:lang w:val="fr-FR"/>
        </w:rPr>
        <w:t xml:space="preserve">Outre le </w:t>
      </w:r>
      <w:r w:rsidR="00D747B0">
        <w:rPr>
          <w:rFonts w:ascii="Verdana" w:hAnsi="Verdana"/>
          <w:sz w:val="20"/>
          <w:szCs w:val="20"/>
          <w:lang w:val="fr-FR"/>
        </w:rPr>
        <w:t>D</w:t>
      </w:r>
      <w:r w:rsidRPr="00FC791F">
        <w:rPr>
          <w:rFonts w:ascii="Verdana" w:hAnsi="Verdana"/>
          <w:sz w:val="20"/>
          <w:szCs w:val="20"/>
          <w:lang w:val="fr-FR"/>
        </w:rPr>
        <w:t xml:space="preserve">roit européen, </w:t>
      </w:r>
      <w:r w:rsidR="00D747B0">
        <w:rPr>
          <w:rFonts w:ascii="Verdana" w:hAnsi="Verdana"/>
          <w:sz w:val="20"/>
          <w:szCs w:val="20"/>
          <w:lang w:val="fr-FR"/>
        </w:rPr>
        <w:t>la CEDH</w:t>
      </w:r>
      <w:r w:rsidRPr="00FC791F">
        <w:rPr>
          <w:rFonts w:ascii="Verdana" w:hAnsi="Verdana"/>
          <w:sz w:val="20"/>
          <w:szCs w:val="20"/>
          <w:lang w:val="fr-FR"/>
        </w:rPr>
        <w:t>. est également, selon une jurisprudence belge con</w:t>
      </w:r>
      <w:r w:rsidRPr="00FC791F">
        <w:rPr>
          <w:rFonts w:ascii="Verdana" w:hAnsi="Verdana"/>
          <w:sz w:val="20"/>
          <w:szCs w:val="20"/>
          <w:lang w:val="fr-FR"/>
        </w:rPr>
        <w:t>s</w:t>
      </w:r>
      <w:r w:rsidRPr="00FC791F">
        <w:rPr>
          <w:rFonts w:ascii="Verdana" w:hAnsi="Verdana"/>
          <w:sz w:val="20"/>
          <w:szCs w:val="20"/>
          <w:lang w:val="fr-FR"/>
        </w:rPr>
        <w:t>tante, un traité à effet direct qui prime sur le droit national.</w:t>
      </w:r>
    </w:p>
    <w:p w14:paraId="34F607B6" w14:textId="77777777" w:rsidR="00D747B0" w:rsidRPr="00027AB0" w:rsidRDefault="00D747B0" w:rsidP="00D747B0">
      <w:pPr>
        <w:spacing w:after="0" w:line="276" w:lineRule="auto"/>
        <w:rPr>
          <w:color w:val="4472C4" w:themeColor="accent1"/>
          <w:lang w:val="fr-FR"/>
        </w:rPr>
      </w:pPr>
      <w:r>
        <w:rPr>
          <w:color w:val="4472C4" w:themeColor="accent1"/>
          <w:lang w:val="fr-FR"/>
        </w:rPr>
        <w:t>EVRM = Europees verdrag voor de Rechten van de mens  = Convention européenne des droits de l’homme = CEDH</w:t>
      </w:r>
    </w:p>
    <w:p w14:paraId="79ABD2DC" w14:textId="130B204E" w:rsidR="005D4E9D" w:rsidRPr="00FC791F" w:rsidRDefault="005D4E9D" w:rsidP="00C03246">
      <w:pPr>
        <w:spacing w:after="0" w:line="20" w:lineRule="atLeast"/>
        <w:jc w:val="both"/>
        <w:rPr>
          <w:rFonts w:ascii="Verdana" w:hAnsi="Verdana"/>
          <w:sz w:val="20"/>
          <w:szCs w:val="20"/>
          <w:lang w:val="fr-FR"/>
        </w:rPr>
      </w:pPr>
    </w:p>
    <w:p w14:paraId="2CE3107A" w14:textId="5930B642" w:rsidR="00C4386E" w:rsidRPr="00FC791F" w:rsidRDefault="002B43C6" w:rsidP="00C03246">
      <w:pPr>
        <w:spacing w:after="0" w:line="20" w:lineRule="atLeast"/>
        <w:jc w:val="both"/>
        <w:rPr>
          <w:rFonts w:ascii="Verdana" w:hAnsi="Verdana"/>
          <w:b/>
          <w:bCs/>
          <w:sz w:val="20"/>
          <w:szCs w:val="20"/>
          <w:u w:val="single"/>
          <w:lang w:val="fr-FR"/>
        </w:rPr>
      </w:pPr>
      <w:r w:rsidRPr="00FC791F">
        <w:rPr>
          <w:rFonts w:ascii="Verdana" w:hAnsi="Verdana"/>
          <w:b/>
          <w:bCs/>
          <w:sz w:val="20"/>
          <w:szCs w:val="20"/>
          <w:u w:val="single"/>
          <w:lang w:val="fr-FR"/>
        </w:rPr>
        <w:t>D. LOI D</w:t>
      </w:r>
      <w:r w:rsidR="000D2EC0">
        <w:rPr>
          <w:rFonts w:ascii="Verdana" w:hAnsi="Verdana"/>
          <w:b/>
          <w:bCs/>
          <w:sz w:val="20"/>
          <w:szCs w:val="20"/>
          <w:u w:val="single"/>
          <w:lang w:val="fr-FR"/>
        </w:rPr>
        <w:t>’</w:t>
      </w:r>
      <w:r w:rsidRPr="00FC791F">
        <w:rPr>
          <w:rFonts w:ascii="Verdana" w:hAnsi="Verdana"/>
          <w:b/>
          <w:bCs/>
          <w:sz w:val="20"/>
          <w:szCs w:val="20"/>
          <w:u w:val="single"/>
          <w:lang w:val="fr-FR"/>
        </w:rPr>
        <w:t>APPLICATION DU 13 JUIN 2005 CONCERNANT LA COMMUNICATION ÉLECTRONIQUE</w:t>
      </w:r>
    </w:p>
    <w:p w14:paraId="31392813" w14:textId="77777777" w:rsidR="000B724A" w:rsidRDefault="000B724A" w:rsidP="00C03246">
      <w:pPr>
        <w:pStyle w:val="Sansinterligne"/>
        <w:spacing w:line="20" w:lineRule="atLeast"/>
        <w:jc w:val="both"/>
        <w:rPr>
          <w:rFonts w:ascii="Verdana" w:hAnsi="Verdana"/>
          <w:sz w:val="20"/>
          <w:szCs w:val="20"/>
          <w:lang w:val="fr-FR"/>
        </w:rPr>
      </w:pPr>
    </w:p>
    <w:p w14:paraId="13FA51D8" w14:textId="454633AC" w:rsidR="002B43C6" w:rsidRPr="00FC791F" w:rsidRDefault="003B099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22</w:t>
      </w:r>
      <w:r w:rsidR="002B43C6" w:rsidRPr="00FC791F">
        <w:rPr>
          <w:rFonts w:ascii="Verdana" w:hAnsi="Verdana"/>
          <w:sz w:val="20"/>
          <w:szCs w:val="20"/>
          <w:lang w:val="fr-FR"/>
        </w:rPr>
        <w:t>.</w:t>
      </w:r>
    </w:p>
    <w:p w14:paraId="232550AC" w14:textId="5E3FDBA8" w:rsidR="00C4386E" w:rsidRPr="00FC791F" w:rsidRDefault="00C4386E"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L</w:t>
      </w:r>
      <w:r w:rsidR="000D2EC0">
        <w:rPr>
          <w:rFonts w:ascii="Verdana" w:hAnsi="Verdana"/>
          <w:sz w:val="20"/>
          <w:szCs w:val="20"/>
          <w:lang w:val="fr-FR"/>
        </w:rPr>
        <w:t>’</w:t>
      </w:r>
      <w:r w:rsidRPr="00FC791F">
        <w:rPr>
          <w:rFonts w:ascii="Verdana" w:hAnsi="Verdana"/>
          <w:sz w:val="20"/>
          <w:szCs w:val="20"/>
          <w:lang w:val="fr-FR"/>
        </w:rPr>
        <w:t>article 32, §1 de la loi du 13 juin 2005 relative aux communications électroniques pr</w:t>
      </w:r>
      <w:r w:rsidRPr="00FC791F">
        <w:rPr>
          <w:rFonts w:ascii="Verdana" w:hAnsi="Verdana"/>
          <w:sz w:val="20"/>
          <w:szCs w:val="20"/>
          <w:lang w:val="fr-FR"/>
        </w:rPr>
        <w:t>é</w:t>
      </w:r>
      <w:r w:rsidRPr="00FC791F">
        <w:rPr>
          <w:rFonts w:ascii="Verdana" w:hAnsi="Verdana"/>
          <w:sz w:val="20"/>
          <w:szCs w:val="20"/>
          <w:lang w:val="fr-FR"/>
        </w:rPr>
        <w:t>voyait initialement ce qui suit</w:t>
      </w:r>
      <w:r w:rsidR="000D2EC0">
        <w:rPr>
          <w:rFonts w:ascii="Verdana" w:hAnsi="Verdana"/>
          <w:sz w:val="20"/>
          <w:szCs w:val="20"/>
          <w:lang w:val="fr-FR"/>
        </w:rPr>
        <w:t> </w:t>
      </w:r>
      <w:r w:rsidRPr="00FC791F">
        <w:rPr>
          <w:rFonts w:ascii="Verdana" w:hAnsi="Verdana"/>
          <w:sz w:val="20"/>
          <w:szCs w:val="20"/>
          <w:lang w:val="fr-FR"/>
        </w:rPr>
        <w:t xml:space="preserve">: </w:t>
      </w:r>
    </w:p>
    <w:p w14:paraId="65478D74" w14:textId="5358C35E" w:rsidR="00C4386E" w:rsidRPr="00FC791F" w:rsidRDefault="000D2EC0" w:rsidP="00D747B0">
      <w:pPr>
        <w:spacing w:after="0" w:line="20" w:lineRule="atLeast"/>
        <w:ind w:left="708"/>
        <w:jc w:val="both"/>
        <w:rPr>
          <w:rFonts w:ascii="Verdana" w:hAnsi="Verdana"/>
          <w:i/>
          <w:iCs/>
          <w:sz w:val="20"/>
          <w:szCs w:val="20"/>
          <w:lang w:val="fr-FR"/>
        </w:rPr>
      </w:pPr>
      <w:r>
        <w:rPr>
          <w:rFonts w:ascii="Verdana" w:hAnsi="Verdana"/>
          <w:i/>
          <w:iCs/>
          <w:sz w:val="20"/>
          <w:szCs w:val="20"/>
          <w:lang w:val="fr-FR"/>
        </w:rPr>
        <w:t>« </w:t>
      </w:r>
      <w:r w:rsidR="00D747B0" w:rsidRPr="00D747B0">
        <w:rPr>
          <w:rFonts w:ascii="Verdana" w:hAnsi="Verdana"/>
          <w:i/>
          <w:iCs/>
          <w:sz w:val="20"/>
          <w:szCs w:val="20"/>
          <w:lang w:val="fr-FR"/>
        </w:rPr>
        <w:t>Les équipements hertziens sont construits de telle façon qu'ils garantissent la protection de la santé et de la sécurité des personnes et des animaux dome</w:t>
      </w:r>
      <w:r w:rsidR="00D747B0" w:rsidRPr="00D747B0">
        <w:rPr>
          <w:rFonts w:ascii="Verdana" w:hAnsi="Verdana"/>
          <w:i/>
          <w:iCs/>
          <w:sz w:val="20"/>
          <w:szCs w:val="20"/>
          <w:lang w:val="fr-FR"/>
        </w:rPr>
        <w:t>s</w:t>
      </w:r>
      <w:r w:rsidR="00D747B0" w:rsidRPr="00D747B0">
        <w:rPr>
          <w:rFonts w:ascii="Verdana" w:hAnsi="Verdana"/>
          <w:i/>
          <w:iCs/>
          <w:sz w:val="20"/>
          <w:szCs w:val="20"/>
          <w:lang w:val="fr-FR"/>
        </w:rPr>
        <w:t>tiques, et la protection des biens, y compris les objectifs relatifs aux exigences en matière de sécurité que doit respecter le matériel électrique destiné à être e</w:t>
      </w:r>
      <w:r w:rsidR="00D747B0" w:rsidRPr="00D747B0">
        <w:rPr>
          <w:rFonts w:ascii="Verdana" w:hAnsi="Verdana"/>
          <w:i/>
          <w:iCs/>
          <w:sz w:val="20"/>
          <w:szCs w:val="20"/>
          <w:lang w:val="fr-FR"/>
        </w:rPr>
        <w:t>m</w:t>
      </w:r>
      <w:r w:rsidR="00D747B0" w:rsidRPr="00D747B0">
        <w:rPr>
          <w:rFonts w:ascii="Verdana" w:hAnsi="Verdana"/>
          <w:i/>
          <w:iCs/>
          <w:sz w:val="20"/>
          <w:szCs w:val="20"/>
          <w:lang w:val="fr-FR"/>
        </w:rPr>
        <w:t>ployé dans certaines limites de tension, mais sans limites de tension;</w:t>
      </w:r>
      <w:r w:rsidR="00D747B0">
        <w:rPr>
          <w:rFonts w:ascii="Verdana" w:hAnsi="Verdana"/>
          <w:i/>
          <w:iCs/>
          <w:sz w:val="20"/>
          <w:szCs w:val="20"/>
          <w:lang w:val="fr-FR"/>
        </w:rPr>
        <w:t> ».</w:t>
      </w:r>
      <w:r w:rsidR="00D747B0" w:rsidRPr="00D747B0">
        <w:rPr>
          <w:rFonts w:ascii="Verdana" w:hAnsi="Verdana"/>
          <w:i/>
          <w:iCs/>
          <w:sz w:val="20"/>
          <w:szCs w:val="20"/>
          <w:lang w:val="fr-FR"/>
        </w:rPr>
        <w:t xml:space="preserve"> </w:t>
      </w:r>
    </w:p>
    <w:p w14:paraId="05426AEF" w14:textId="77777777" w:rsidR="000D2EC0" w:rsidRDefault="000D2EC0" w:rsidP="00C03246">
      <w:pPr>
        <w:spacing w:after="0" w:line="20" w:lineRule="atLeast"/>
        <w:jc w:val="both"/>
        <w:rPr>
          <w:rFonts w:ascii="Verdana" w:hAnsi="Verdana"/>
          <w:sz w:val="20"/>
          <w:szCs w:val="20"/>
          <w:lang w:val="fr-FR"/>
        </w:rPr>
      </w:pPr>
    </w:p>
    <w:p w14:paraId="66B7A385" w14:textId="23C856B0" w:rsidR="00C4386E" w:rsidRDefault="00C4386E" w:rsidP="00C03246">
      <w:pPr>
        <w:spacing w:after="0" w:line="20" w:lineRule="atLeast"/>
        <w:jc w:val="both"/>
        <w:rPr>
          <w:rFonts w:ascii="Verdana" w:hAnsi="Verdana"/>
          <w:sz w:val="20"/>
          <w:szCs w:val="20"/>
          <w:lang w:val="fr-FR"/>
        </w:rPr>
      </w:pPr>
      <w:r w:rsidRPr="00FC791F">
        <w:rPr>
          <w:rFonts w:ascii="Verdana" w:hAnsi="Verdana"/>
          <w:sz w:val="20"/>
          <w:szCs w:val="20"/>
          <w:lang w:val="fr-FR"/>
        </w:rPr>
        <w:t xml:space="preserve">Le terme "équipement" désigne : </w:t>
      </w:r>
    </w:p>
    <w:p w14:paraId="57B26711" w14:textId="77777777" w:rsidR="000D2EC0" w:rsidRPr="00FC791F" w:rsidRDefault="000D2EC0" w:rsidP="00C03246">
      <w:pPr>
        <w:spacing w:after="0" w:line="20" w:lineRule="atLeast"/>
        <w:jc w:val="both"/>
        <w:rPr>
          <w:rFonts w:ascii="Verdana" w:hAnsi="Verdana"/>
          <w:sz w:val="20"/>
          <w:szCs w:val="20"/>
          <w:lang w:val="fr-FR"/>
        </w:rPr>
      </w:pPr>
    </w:p>
    <w:p w14:paraId="387D3FC4" w14:textId="57C08CDF" w:rsidR="00C4386E" w:rsidRDefault="00C4386E" w:rsidP="000D2EC0">
      <w:pPr>
        <w:spacing w:after="0" w:line="20" w:lineRule="atLeast"/>
        <w:ind w:left="708"/>
        <w:jc w:val="both"/>
        <w:rPr>
          <w:rFonts w:ascii="Verdana" w:hAnsi="Verdana"/>
          <w:sz w:val="20"/>
          <w:szCs w:val="20"/>
          <w:lang w:val="fr-FR"/>
        </w:rPr>
      </w:pPr>
      <w:r w:rsidRPr="00FC791F">
        <w:rPr>
          <w:rFonts w:ascii="Verdana" w:hAnsi="Verdana"/>
          <w:sz w:val="20"/>
          <w:szCs w:val="20"/>
          <w:lang w:val="fr-FR"/>
        </w:rPr>
        <w:t>"</w:t>
      </w:r>
      <w:r w:rsidR="00364935" w:rsidRPr="00364935">
        <w:rPr>
          <w:lang w:val="fr-BE"/>
        </w:rPr>
        <w:t xml:space="preserve"> </w:t>
      </w:r>
      <w:r w:rsidR="00364935" w:rsidRPr="00364935">
        <w:rPr>
          <w:rFonts w:ascii="Verdana" w:hAnsi="Verdana"/>
          <w:i/>
          <w:iCs/>
          <w:sz w:val="20"/>
          <w:szCs w:val="20"/>
          <w:lang w:val="fr-FR"/>
        </w:rPr>
        <w:t xml:space="preserve">tout produit qui est soit un équipement hertzien, soit un équipement terminal, soit les deux </w:t>
      </w:r>
      <w:r w:rsidRPr="00FC791F">
        <w:rPr>
          <w:rFonts w:ascii="Verdana" w:hAnsi="Verdana"/>
          <w:sz w:val="20"/>
          <w:szCs w:val="20"/>
          <w:lang w:val="fr-FR"/>
        </w:rPr>
        <w:t>" (art. 2, 43° loi du 13 juin 2005)</w:t>
      </w:r>
    </w:p>
    <w:p w14:paraId="24854581" w14:textId="77777777" w:rsidR="000D2EC0" w:rsidRPr="00FC791F" w:rsidRDefault="000D2EC0" w:rsidP="000D2EC0">
      <w:pPr>
        <w:spacing w:after="0" w:line="20" w:lineRule="atLeast"/>
        <w:ind w:left="708"/>
        <w:jc w:val="both"/>
        <w:rPr>
          <w:rFonts w:ascii="Verdana" w:hAnsi="Verdana"/>
          <w:sz w:val="20"/>
          <w:szCs w:val="20"/>
          <w:lang w:val="fr-FR"/>
        </w:rPr>
      </w:pPr>
    </w:p>
    <w:p w14:paraId="79833C0B" w14:textId="27C82D6C" w:rsidR="00C4386E" w:rsidRDefault="00C4386E" w:rsidP="00C03246">
      <w:pPr>
        <w:spacing w:after="0" w:line="20" w:lineRule="atLeast"/>
        <w:jc w:val="both"/>
        <w:rPr>
          <w:rFonts w:ascii="Verdana" w:hAnsi="Verdana"/>
          <w:sz w:val="20"/>
          <w:szCs w:val="20"/>
          <w:lang w:val="fr-FR"/>
        </w:rPr>
      </w:pPr>
      <w:r w:rsidRPr="00FC791F">
        <w:rPr>
          <w:rFonts w:ascii="Verdana" w:hAnsi="Verdana"/>
          <w:sz w:val="20"/>
          <w:szCs w:val="20"/>
          <w:lang w:val="fr-FR"/>
        </w:rPr>
        <w:t>Par "équipement terminal", on entend à son tour ce qui suit :</w:t>
      </w:r>
    </w:p>
    <w:p w14:paraId="45834D9E" w14:textId="77777777" w:rsidR="000D2EC0" w:rsidRPr="00FC791F" w:rsidRDefault="000D2EC0" w:rsidP="00C03246">
      <w:pPr>
        <w:spacing w:after="0" w:line="20" w:lineRule="atLeast"/>
        <w:jc w:val="both"/>
        <w:rPr>
          <w:rFonts w:ascii="Verdana" w:hAnsi="Verdana"/>
          <w:sz w:val="20"/>
          <w:szCs w:val="20"/>
          <w:lang w:val="fr-FR"/>
        </w:rPr>
      </w:pPr>
    </w:p>
    <w:p w14:paraId="75EF5E38" w14:textId="3388FF25" w:rsidR="00C4386E" w:rsidRPr="00FC791F" w:rsidRDefault="00C4386E" w:rsidP="000D2EC0">
      <w:pPr>
        <w:spacing w:after="0" w:line="20" w:lineRule="atLeast"/>
        <w:ind w:left="708"/>
        <w:jc w:val="both"/>
        <w:rPr>
          <w:rFonts w:ascii="Verdana" w:hAnsi="Verdana"/>
          <w:sz w:val="20"/>
          <w:szCs w:val="20"/>
          <w:lang w:val="fr-FR"/>
        </w:rPr>
      </w:pPr>
      <w:r w:rsidRPr="00FC791F">
        <w:rPr>
          <w:rFonts w:ascii="Verdana" w:hAnsi="Verdana"/>
          <w:sz w:val="20"/>
          <w:szCs w:val="20"/>
          <w:lang w:val="fr-FR"/>
        </w:rPr>
        <w:t>"</w:t>
      </w:r>
      <w:r w:rsidR="00364935">
        <w:rPr>
          <w:rFonts w:ascii="Verdana" w:hAnsi="Verdana"/>
          <w:sz w:val="20"/>
          <w:szCs w:val="20"/>
          <w:lang w:val="fr-FR"/>
        </w:rPr>
        <w:t xml:space="preserve"> </w:t>
      </w:r>
      <w:r w:rsidR="00364935" w:rsidRPr="00364935">
        <w:rPr>
          <w:rFonts w:ascii="Verdana" w:hAnsi="Verdana"/>
          <w:i/>
          <w:iCs/>
          <w:sz w:val="20"/>
          <w:szCs w:val="20"/>
          <w:lang w:val="fr-FR"/>
        </w:rPr>
        <w:t>un produit ou un composant pertinent d'un produit, permettant de réaliser des communications électroniques et destiné à être connecté directement ou indire</w:t>
      </w:r>
      <w:r w:rsidR="00364935" w:rsidRPr="00364935">
        <w:rPr>
          <w:rFonts w:ascii="Verdana" w:hAnsi="Verdana"/>
          <w:i/>
          <w:iCs/>
          <w:sz w:val="20"/>
          <w:szCs w:val="20"/>
          <w:lang w:val="fr-FR"/>
        </w:rPr>
        <w:t>c</w:t>
      </w:r>
      <w:r w:rsidR="00364935" w:rsidRPr="00364935">
        <w:rPr>
          <w:rFonts w:ascii="Verdana" w:hAnsi="Verdana"/>
          <w:i/>
          <w:iCs/>
          <w:sz w:val="20"/>
          <w:szCs w:val="20"/>
          <w:lang w:val="fr-FR"/>
        </w:rPr>
        <w:t xml:space="preserve">tement aux interfaces d'un réseau public de communications électroniques </w:t>
      </w:r>
      <w:r w:rsidRPr="00FC791F">
        <w:rPr>
          <w:rFonts w:ascii="Verdana" w:hAnsi="Verdana"/>
          <w:sz w:val="20"/>
          <w:szCs w:val="20"/>
          <w:lang w:val="fr-FR"/>
        </w:rPr>
        <w:t>".</w:t>
      </w:r>
    </w:p>
    <w:p w14:paraId="5B7AA8A4" w14:textId="0325370C" w:rsidR="000D2EC0" w:rsidRDefault="00C4386E" w:rsidP="000D2EC0">
      <w:pPr>
        <w:spacing w:after="0" w:line="20" w:lineRule="atLeast"/>
        <w:ind w:left="708"/>
        <w:jc w:val="both"/>
        <w:rPr>
          <w:rFonts w:ascii="Verdana" w:hAnsi="Verdana"/>
          <w:sz w:val="20"/>
          <w:szCs w:val="20"/>
          <w:lang w:val="fr-FR"/>
        </w:rPr>
      </w:pPr>
      <w:r w:rsidRPr="00FC791F">
        <w:rPr>
          <w:rFonts w:ascii="Verdana" w:hAnsi="Verdana"/>
          <w:sz w:val="20"/>
          <w:szCs w:val="20"/>
          <w:lang w:val="fr-FR"/>
        </w:rPr>
        <w:t>(Art. 2, 41° Loi du 13 juin 2005)</w:t>
      </w:r>
    </w:p>
    <w:p w14:paraId="45BD68B4" w14:textId="77777777" w:rsidR="00364935" w:rsidRPr="00FC791F" w:rsidRDefault="00364935" w:rsidP="000D2EC0">
      <w:pPr>
        <w:spacing w:after="0" w:line="20" w:lineRule="atLeast"/>
        <w:ind w:left="708"/>
        <w:jc w:val="both"/>
        <w:rPr>
          <w:rFonts w:ascii="Verdana" w:hAnsi="Verdana"/>
          <w:sz w:val="20"/>
          <w:szCs w:val="20"/>
          <w:lang w:val="fr-FR"/>
        </w:rPr>
      </w:pPr>
    </w:p>
    <w:p w14:paraId="7D870F3B" w14:textId="0BA4769F" w:rsidR="00C4386E" w:rsidRDefault="00C4386E" w:rsidP="00C03246">
      <w:pPr>
        <w:spacing w:after="0" w:line="20" w:lineRule="atLeast"/>
        <w:jc w:val="both"/>
        <w:rPr>
          <w:rFonts w:ascii="Verdana" w:hAnsi="Verdana"/>
          <w:sz w:val="20"/>
          <w:szCs w:val="20"/>
          <w:lang w:val="fr-FR"/>
        </w:rPr>
      </w:pPr>
      <w:r w:rsidRPr="00FC791F">
        <w:rPr>
          <w:rFonts w:ascii="Verdana" w:hAnsi="Verdana"/>
          <w:sz w:val="20"/>
          <w:szCs w:val="20"/>
          <w:lang w:val="fr-FR"/>
        </w:rPr>
        <w:t>Cette section de la loi offrait une protection juridique contre les équipements qui po</w:t>
      </w:r>
      <w:r w:rsidRPr="00FC791F">
        <w:rPr>
          <w:rFonts w:ascii="Verdana" w:hAnsi="Verdana"/>
          <w:sz w:val="20"/>
          <w:szCs w:val="20"/>
          <w:lang w:val="fr-FR"/>
        </w:rPr>
        <w:t>r</w:t>
      </w:r>
      <w:r w:rsidRPr="00FC791F">
        <w:rPr>
          <w:rFonts w:ascii="Verdana" w:hAnsi="Verdana"/>
          <w:sz w:val="20"/>
          <w:szCs w:val="20"/>
          <w:lang w:val="fr-FR"/>
        </w:rPr>
        <w:t>taient atteinte à la santé des titulaires de droits.</w:t>
      </w:r>
    </w:p>
    <w:p w14:paraId="3F675979" w14:textId="77777777" w:rsidR="000D2EC0" w:rsidRPr="00FC791F" w:rsidRDefault="000D2EC0" w:rsidP="00C03246">
      <w:pPr>
        <w:spacing w:after="0" w:line="20" w:lineRule="atLeast"/>
        <w:jc w:val="both"/>
        <w:rPr>
          <w:rFonts w:ascii="Verdana" w:hAnsi="Verdana"/>
          <w:sz w:val="20"/>
          <w:szCs w:val="20"/>
          <w:lang w:val="fr-FR"/>
        </w:rPr>
      </w:pPr>
    </w:p>
    <w:p w14:paraId="628F02B5" w14:textId="4CA10206" w:rsidR="00C4386E" w:rsidRDefault="00C4386E" w:rsidP="00C03246">
      <w:pPr>
        <w:spacing w:after="0" w:line="20" w:lineRule="atLeast"/>
        <w:jc w:val="both"/>
        <w:rPr>
          <w:rFonts w:ascii="Verdana" w:hAnsi="Verdana"/>
          <w:sz w:val="20"/>
          <w:szCs w:val="20"/>
          <w:lang w:val="fr-FR"/>
        </w:rPr>
      </w:pPr>
      <w:r w:rsidRPr="00FC791F">
        <w:rPr>
          <w:rFonts w:ascii="Verdana" w:hAnsi="Verdana"/>
          <w:sz w:val="20"/>
          <w:szCs w:val="20"/>
          <w:lang w:val="fr-FR"/>
        </w:rPr>
        <w:t xml:space="preserve">Dans la loi du 18 décembre 2015 portant dispositions </w:t>
      </w:r>
      <w:r w:rsidR="00D53D7F" w:rsidRPr="00FC791F">
        <w:rPr>
          <w:rFonts w:ascii="Verdana" w:hAnsi="Verdana"/>
          <w:sz w:val="20"/>
          <w:szCs w:val="20"/>
          <w:lang w:val="fr-FR"/>
        </w:rPr>
        <w:t xml:space="preserve">diverses </w:t>
      </w:r>
      <w:r w:rsidRPr="00FC791F">
        <w:rPr>
          <w:rFonts w:ascii="Verdana" w:hAnsi="Verdana"/>
          <w:sz w:val="20"/>
          <w:szCs w:val="20"/>
          <w:lang w:val="fr-FR"/>
        </w:rPr>
        <w:t>en matière de communic</w:t>
      </w:r>
      <w:r w:rsidRPr="00FC791F">
        <w:rPr>
          <w:rFonts w:ascii="Verdana" w:hAnsi="Verdana"/>
          <w:sz w:val="20"/>
          <w:szCs w:val="20"/>
          <w:lang w:val="fr-FR"/>
        </w:rPr>
        <w:t>a</w:t>
      </w:r>
      <w:r w:rsidRPr="00FC791F">
        <w:rPr>
          <w:rFonts w:ascii="Verdana" w:hAnsi="Verdana"/>
          <w:sz w:val="20"/>
          <w:szCs w:val="20"/>
          <w:lang w:val="fr-FR"/>
        </w:rPr>
        <w:t>tion</w:t>
      </w:r>
      <w:r w:rsidR="00D53D7F">
        <w:rPr>
          <w:rFonts w:ascii="Verdana" w:hAnsi="Verdana"/>
          <w:sz w:val="20"/>
          <w:szCs w:val="20"/>
          <w:lang w:val="fr-FR"/>
        </w:rPr>
        <w:t>s</w:t>
      </w:r>
      <w:r w:rsidRPr="00FC791F">
        <w:rPr>
          <w:rFonts w:ascii="Verdana" w:hAnsi="Verdana"/>
          <w:sz w:val="20"/>
          <w:szCs w:val="20"/>
          <w:lang w:val="fr-FR"/>
        </w:rPr>
        <w:t xml:space="preserve"> électronique</w:t>
      </w:r>
      <w:r w:rsidR="00D53D7F">
        <w:rPr>
          <w:rFonts w:ascii="Verdana" w:hAnsi="Verdana"/>
          <w:sz w:val="20"/>
          <w:szCs w:val="20"/>
          <w:lang w:val="fr-FR"/>
        </w:rPr>
        <w:t>s</w:t>
      </w:r>
      <w:r w:rsidRPr="00FC791F">
        <w:rPr>
          <w:rFonts w:ascii="Verdana" w:hAnsi="Verdana"/>
          <w:sz w:val="20"/>
          <w:szCs w:val="20"/>
          <w:lang w:val="fr-FR"/>
        </w:rPr>
        <w:t xml:space="preserve"> (</w:t>
      </w:r>
      <w:r w:rsidR="00D53D7F">
        <w:rPr>
          <w:rFonts w:ascii="Verdana" w:hAnsi="Verdana"/>
          <w:sz w:val="20"/>
          <w:szCs w:val="20"/>
          <w:lang w:val="fr-FR"/>
        </w:rPr>
        <w:t>MB</w:t>
      </w:r>
      <w:r w:rsidRPr="00D53D7F">
        <w:rPr>
          <w:rFonts w:ascii="Verdana" w:hAnsi="Verdana"/>
          <w:sz w:val="20"/>
          <w:szCs w:val="20"/>
          <w:lang w:val="fr-FR"/>
        </w:rPr>
        <w:t xml:space="preserve"> du</w:t>
      </w:r>
      <w:r w:rsidRPr="00FC791F">
        <w:rPr>
          <w:rFonts w:ascii="Verdana" w:hAnsi="Verdana"/>
          <w:i/>
          <w:iCs/>
          <w:sz w:val="20"/>
          <w:szCs w:val="20"/>
          <w:lang w:val="fr-FR"/>
        </w:rPr>
        <w:t xml:space="preserve"> </w:t>
      </w:r>
      <w:r w:rsidRPr="00FC791F">
        <w:rPr>
          <w:rFonts w:ascii="Verdana" w:hAnsi="Verdana"/>
          <w:sz w:val="20"/>
          <w:szCs w:val="20"/>
          <w:lang w:val="fr-FR"/>
        </w:rPr>
        <w:t xml:space="preserve">15 janvier 2016), l'article 32 a été modifié de sorte qu'il ne concerne plus que les équipements </w:t>
      </w:r>
      <w:r w:rsidR="0092545D">
        <w:rPr>
          <w:rFonts w:ascii="Verdana" w:hAnsi="Verdana"/>
          <w:sz w:val="20"/>
          <w:szCs w:val="20"/>
          <w:lang w:val="fr-FR"/>
        </w:rPr>
        <w:t>hertziens</w:t>
      </w:r>
      <w:r w:rsidRPr="00FC791F">
        <w:rPr>
          <w:rFonts w:ascii="Verdana" w:hAnsi="Verdana"/>
          <w:sz w:val="20"/>
          <w:szCs w:val="20"/>
          <w:lang w:val="fr-FR"/>
        </w:rPr>
        <w:t>.</w:t>
      </w:r>
    </w:p>
    <w:p w14:paraId="0C1521F0" w14:textId="77777777" w:rsidR="000D2EC0" w:rsidRPr="00FC791F" w:rsidRDefault="000D2EC0" w:rsidP="00C03246">
      <w:pPr>
        <w:spacing w:after="0" w:line="20" w:lineRule="atLeast"/>
        <w:jc w:val="both"/>
        <w:rPr>
          <w:rFonts w:ascii="Verdana" w:hAnsi="Verdana"/>
          <w:sz w:val="20"/>
          <w:szCs w:val="20"/>
          <w:lang w:val="fr-FR"/>
        </w:rPr>
      </w:pPr>
    </w:p>
    <w:p w14:paraId="54196977" w14:textId="3C766467" w:rsidR="002B43C6" w:rsidRDefault="002B43C6" w:rsidP="00C03246">
      <w:pPr>
        <w:spacing w:after="0" w:line="20" w:lineRule="atLeast"/>
        <w:jc w:val="both"/>
        <w:rPr>
          <w:rFonts w:ascii="Verdana" w:hAnsi="Verdana"/>
          <w:sz w:val="20"/>
          <w:szCs w:val="20"/>
          <w:lang w:val="fr-FR"/>
        </w:rPr>
      </w:pPr>
      <w:r w:rsidRPr="00FC791F">
        <w:rPr>
          <w:rFonts w:ascii="Verdana" w:hAnsi="Verdana"/>
          <w:sz w:val="20"/>
          <w:szCs w:val="20"/>
          <w:lang w:val="fr-FR"/>
        </w:rPr>
        <w:t xml:space="preserve">Pour les "équipements terminaux", le nouvel article 32 §5 précise qu'ils ne peuvent être </w:t>
      </w:r>
      <w:r w:rsidR="0092545D" w:rsidRPr="0092545D">
        <w:rPr>
          <w:rFonts w:ascii="Verdana" w:hAnsi="Verdana"/>
          <w:sz w:val="20"/>
          <w:szCs w:val="20"/>
          <w:lang w:val="fr-FR"/>
        </w:rPr>
        <w:t>détenus ou commercialisés, importés ou acquis en propriété que s'ils satisfont à la lég</w:t>
      </w:r>
      <w:r w:rsidR="0092545D" w:rsidRPr="0092545D">
        <w:rPr>
          <w:rFonts w:ascii="Verdana" w:hAnsi="Verdana"/>
          <w:sz w:val="20"/>
          <w:szCs w:val="20"/>
          <w:lang w:val="fr-FR"/>
        </w:rPr>
        <w:t>i</w:t>
      </w:r>
      <w:r w:rsidR="0092545D" w:rsidRPr="0092545D">
        <w:rPr>
          <w:rFonts w:ascii="Verdana" w:hAnsi="Verdana"/>
          <w:sz w:val="20"/>
          <w:szCs w:val="20"/>
          <w:lang w:val="fr-FR"/>
        </w:rPr>
        <w:t>slation applicable relative à la compatibilité électromagnétique et au matériel électrique destiné à être employé dans certaines limites de tension.</w:t>
      </w:r>
      <w:r w:rsidRPr="00FC791F">
        <w:rPr>
          <w:rFonts w:ascii="Verdana" w:hAnsi="Verdana"/>
          <w:sz w:val="20"/>
          <w:szCs w:val="20"/>
          <w:lang w:val="fr-FR"/>
        </w:rPr>
        <w:t xml:space="preserve"> Cela n'offre pas les mêmes g</w:t>
      </w:r>
      <w:r w:rsidRPr="00FC791F">
        <w:rPr>
          <w:rFonts w:ascii="Verdana" w:hAnsi="Verdana"/>
          <w:sz w:val="20"/>
          <w:szCs w:val="20"/>
          <w:lang w:val="fr-FR"/>
        </w:rPr>
        <w:t>a</w:t>
      </w:r>
      <w:r w:rsidRPr="00FC791F">
        <w:rPr>
          <w:rFonts w:ascii="Verdana" w:hAnsi="Verdana"/>
          <w:sz w:val="20"/>
          <w:szCs w:val="20"/>
          <w:lang w:val="fr-FR"/>
        </w:rPr>
        <w:t>ranties en matière de protection de la santé et de la sécurité publiques.</w:t>
      </w:r>
    </w:p>
    <w:p w14:paraId="6AF56B90" w14:textId="77777777" w:rsidR="000D2EC0" w:rsidRPr="00FC791F" w:rsidRDefault="000D2EC0" w:rsidP="00C03246">
      <w:pPr>
        <w:spacing w:after="0" w:line="20" w:lineRule="atLeast"/>
        <w:jc w:val="both"/>
        <w:rPr>
          <w:rFonts w:ascii="Verdana" w:hAnsi="Verdana"/>
          <w:sz w:val="20"/>
          <w:szCs w:val="20"/>
          <w:lang w:val="fr-FR"/>
        </w:rPr>
      </w:pPr>
    </w:p>
    <w:p w14:paraId="4F4EC083" w14:textId="6A919BCE" w:rsidR="00C4386E" w:rsidRDefault="0092545D" w:rsidP="00C03246">
      <w:pPr>
        <w:spacing w:after="0" w:line="20" w:lineRule="atLeast"/>
        <w:jc w:val="both"/>
        <w:rPr>
          <w:rFonts w:ascii="Verdana" w:hAnsi="Verdana"/>
          <w:sz w:val="20"/>
          <w:szCs w:val="20"/>
          <w:lang w:val="fr-FR"/>
        </w:rPr>
      </w:pPr>
      <w:r>
        <w:rPr>
          <w:rFonts w:ascii="Verdana" w:hAnsi="Verdana"/>
          <w:sz w:val="20"/>
          <w:szCs w:val="20"/>
          <w:lang w:val="fr-FR"/>
        </w:rPr>
        <w:t>En conséquence,</w:t>
      </w:r>
      <w:r w:rsidR="00C4386E" w:rsidRPr="00FC791F">
        <w:rPr>
          <w:rFonts w:ascii="Verdana" w:hAnsi="Verdana"/>
          <w:sz w:val="20"/>
          <w:szCs w:val="20"/>
          <w:lang w:val="fr-FR"/>
        </w:rPr>
        <w:t xml:space="preserve"> les opérateurs et les utilisateurs ne sont plus obligés d'utiliser des équ</w:t>
      </w:r>
      <w:r w:rsidR="00C4386E" w:rsidRPr="00FC791F">
        <w:rPr>
          <w:rFonts w:ascii="Verdana" w:hAnsi="Verdana"/>
          <w:sz w:val="20"/>
          <w:szCs w:val="20"/>
          <w:lang w:val="fr-FR"/>
        </w:rPr>
        <w:t>i</w:t>
      </w:r>
      <w:r w:rsidR="00C4386E" w:rsidRPr="00FC791F">
        <w:rPr>
          <w:rFonts w:ascii="Verdana" w:hAnsi="Verdana"/>
          <w:sz w:val="20"/>
          <w:szCs w:val="20"/>
          <w:lang w:val="fr-FR"/>
        </w:rPr>
        <w:t xml:space="preserve">pements qui ne présentent aucun risque pour la santé et la sécurité des utilisateurs et des tiers. </w:t>
      </w:r>
    </w:p>
    <w:p w14:paraId="1824A308" w14:textId="77777777" w:rsidR="000D2EC0" w:rsidRPr="00FC791F" w:rsidRDefault="000D2EC0" w:rsidP="00C03246">
      <w:pPr>
        <w:spacing w:after="0" w:line="20" w:lineRule="atLeast"/>
        <w:jc w:val="both"/>
        <w:rPr>
          <w:rFonts w:ascii="Verdana" w:hAnsi="Verdana"/>
          <w:sz w:val="20"/>
          <w:szCs w:val="20"/>
          <w:lang w:val="fr-FR"/>
        </w:rPr>
      </w:pPr>
    </w:p>
    <w:p w14:paraId="56918B12" w14:textId="508F215A" w:rsidR="00C4386E" w:rsidRDefault="00C4386E" w:rsidP="00C03246">
      <w:pPr>
        <w:spacing w:after="0" w:line="20" w:lineRule="atLeast"/>
        <w:jc w:val="both"/>
        <w:rPr>
          <w:rFonts w:ascii="Verdana" w:hAnsi="Verdana"/>
          <w:sz w:val="20"/>
          <w:szCs w:val="20"/>
          <w:lang w:val="fr-FR"/>
        </w:rPr>
      </w:pPr>
      <w:r w:rsidRPr="00FC791F">
        <w:rPr>
          <w:rFonts w:ascii="Verdana" w:hAnsi="Verdana"/>
          <w:sz w:val="20"/>
          <w:szCs w:val="20"/>
          <w:lang w:val="fr-FR"/>
        </w:rPr>
        <w:t>L'État belge a donc inversé la protection juridique contre les radiations, ce qui est co</w:t>
      </w:r>
      <w:r w:rsidRPr="00FC791F">
        <w:rPr>
          <w:rFonts w:ascii="Verdana" w:hAnsi="Verdana"/>
          <w:sz w:val="20"/>
          <w:szCs w:val="20"/>
          <w:lang w:val="fr-FR"/>
        </w:rPr>
        <w:t>n</w:t>
      </w:r>
      <w:r w:rsidRPr="00FC791F">
        <w:rPr>
          <w:rFonts w:ascii="Verdana" w:hAnsi="Verdana"/>
          <w:sz w:val="20"/>
          <w:szCs w:val="20"/>
          <w:lang w:val="fr-FR"/>
        </w:rPr>
        <w:t xml:space="preserve">traire au principe de </w:t>
      </w:r>
      <w:r w:rsidRPr="0092545D">
        <w:rPr>
          <w:rFonts w:ascii="Verdana" w:hAnsi="Verdana"/>
          <w:sz w:val="20"/>
          <w:szCs w:val="20"/>
          <w:lang w:val="fr-FR"/>
        </w:rPr>
        <w:t>standstill</w:t>
      </w:r>
      <w:r w:rsidRPr="00FC791F">
        <w:rPr>
          <w:rFonts w:ascii="Verdana" w:hAnsi="Verdana"/>
          <w:sz w:val="20"/>
          <w:szCs w:val="20"/>
          <w:lang w:val="fr-FR"/>
        </w:rPr>
        <w:t xml:space="preserve"> tel qu'énoncé à l'article 23 de la Constitution. (</w:t>
      </w:r>
      <w:r w:rsidR="007C5BBA" w:rsidRPr="00FC791F">
        <w:rPr>
          <w:rFonts w:ascii="Verdana" w:hAnsi="Verdana"/>
          <w:sz w:val="20"/>
          <w:szCs w:val="20"/>
          <w:lang w:val="fr-FR"/>
        </w:rPr>
        <w:t>Voir</w:t>
      </w:r>
      <w:r w:rsidRPr="00FC791F">
        <w:rPr>
          <w:rFonts w:ascii="Verdana" w:hAnsi="Verdana"/>
          <w:sz w:val="20"/>
          <w:szCs w:val="20"/>
          <w:lang w:val="fr-FR"/>
        </w:rPr>
        <w:t xml:space="preserve"> ci-dessus)</w:t>
      </w:r>
    </w:p>
    <w:p w14:paraId="1DFF636C" w14:textId="77777777" w:rsidR="000D2EC0" w:rsidRPr="00FC791F" w:rsidRDefault="000D2EC0" w:rsidP="00C03246">
      <w:pPr>
        <w:spacing w:after="0" w:line="20" w:lineRule="atLeast"/>
        <w:jc w:val="both"/>
        <w:rPr>
          <w:rFonts w:ascii="Verdana" w:hAnsi="Verdana"/>
          <w:sz w:val="20"/>
          <w:szCs w:val="20"/>
          <w:lang w:val="fr-FR"/>
        </w:rPr>
      </w:pPr>
    </w:p>
    <w:p w14:paraId="60938CB8" w14:textId="6995E506" w:rsidR="00C4386E" w:rsidRDefault="00C4386E" w:rsidP="00C03246">
      <w:pPr>
        <w:spacing w:after="0" w:line="20" w:lineRule="atLeast"/>
        <w:jc w:val="both"/>
        <w:rPr>
          <w:rFonts w:ascii="Verdana" w:hAnsi="Verdana"/>
          <w:sz w:val="20"/>
          <w:szCs w:val="20"/>
          <w:lang w:val="fr-FR"/>
        </w:rPr>
      </w:pPr>
      <w:r w:rsidRPr="00FC791F">
        <w:rPr>
          <w:rFonts w:ascii="Verdana" w:hAnsi="Verdana"/>
          <w:sz w:val="20"/>
          <w:szCs w:val="20"/>
          <w:lang w:val="fr-FR"/>
        </w:rPr>
        <w:t>En conséquence, les requérants demandent à votre Cour de poser la question préjud</w:t>
      </w:r>
      <w:r w:rsidRPr="00FC791F">
        <w:rPr>
          <w:rFonts w:ascii="Verdana" w:hAnsi="Verdana"/>
          <w:sz w:val="20"/>
          <w:szCs w:val="20"/>
          <w:lang w:val="fr-FR"/>
        </w:rPr>
        <w:t>i</w:t>
      </w:r>
      <w:r w:rsidRPr="00FC791F">
        <w:rPr>
          <w:rFonts w:ascii="Verdana" w:hAnsi="Verdana"/>
          <w:sz w:val="20"/>
          <w:szCs w:val="20"/>
          <w:lang w:val="fr-FR"/>
        </w:rPr>
        <w:t xml:space="preserve">cielle suivante à </w:t>
      </w:r>
      <w:r w:rsidR="002B43C6" w:rsidRPr="00FC791F">
        <w:rPr>
          <w:rFonts w:ascii="Verdana" w:hAnsi="Verdana"/>
          <w:sz w:val="20"/>
          <w:szCs w:val="20"/>
          <w:lang w:val="fr-FR"/>
        </w:rPr>
        <w:t>la Cour constitutionnelle :</w:t>
      </w:r>
    </w:p>
    <w:p w14:paraId="367FF943" w14:textId="77777777" w:rsidR="000D2EC0" w:rsidRPr="00FC791F" w:rsidRDefault="000D2EC0" w:rsidP="00C03246">
      <w:pPr>
        <w:spacing w:after="0" w:line="20" w:lineRule="atLeast"/>
        <w:jc w:val="both"/>
        <w:rPr>
          <w:rFonts w:ascii="Verdana" w:hAnsi="Verdana"/>
          <w:sz w:val="20"/>
          <w:szCs w:val="20"/>
          <w:lang w:val="fr-FR"/>
        </w:rPr>
      </w:pPr>
    </w:p>
    <w:p w14:paraId="04F92E7C" w14:textId="37DA135D" w:rsidR="002B43C6" w:rsidRDefault="002B43C6" w:rsidP="000D2EC0">
      <w:pPr>
        <w:spacing w:after="0" w:line="20" w:lineRule="atLeast"/>
        <w:ind w:left="708"/>
        <w:jc w:val="both"/>
        <w:rPr>
          <w:rFonts w:ascii="Verdana" w:hAnsi="Verdana"/>
          <w:sz w:val="20"/>
          <w:szCs w:val="20"/>
          <w:lang w:val="fr-FR"/>
        </w:rPr>
      </w:pPr>
      <w:r w:rsidRPr="00FC791F">
        <w:rPr>
          <w:rFonts w:ascii="Verdana" w:hAnsi="Verdana"/>
          <w:i/>
          <w:iCs/>
          <w:sz w:val="20"/>
          <w:szCs w:val="20"/>
          <w:lang w:val="fr-FR"/>
        </w:rPr>
        <w:t xml:space="preserve">L'article 6 de la loi du 18 décembre 2015 portant dispositions </w:t>
      </w:r>
      <w:r w:rsidR="0092545D" w:rsidRPr="00FC791F">
        <w:rPr>
          <w:rFonts w:ascii="Verdana" w:hAnsi="Verdana"/>
          <w:i/>
          <w:iCs/>
          <w:sz w:val="20"/>
          <w:szCs w:val="20"/>
          <w:lang w:val="fr-FR"/>
        </w:rPr>
        <w:t xml:space="preserve">diverses </w:t>
      </w:r>
      <w:r w:rsidRPr="00FC791F">
        <w:rPr>
          <w:rFonts w:ascii="Verdana" w:hAnsi="Verdana"/>
          <w:i/>
          <w:iCs/>
          <w:sz w:val="20"/>
          <w:szCs w:val="20"/>
          <w:lang w:val="fr-FR"/>
        </w:rPr>
        <w:t xml:space="preserve">en matière de communications électroniques (Journal officiel du 15 janvier 2016) méconnaît-il le principe de </w:t>
      </w:r>
      <w:r w:rsidRPr="0092545D">
        <w:rPr>
          <w:rFonts w:ascii="Verdana" w:hAnsi="Verdana"/>
          <w:i/>
          <w:iCs/>
          <w:sz w:val="20"/>
          <w:szCs w:val="20"/>
          <w:lang w:val="fr-FR"/>
        </w:rPr>
        <w:t>standstill</w:t>
      </w:r>
      <w:r w:rsidRPr="00FC791F">
        <w:rPr>
          <w:rFonts w:ascii="Verdana" w:hAnsi="Verdana"/>
          <w:i/>
          <w:iCs/>
          <w:sz w:val="20"/>
          <w:szCs w:val="20"/>
          <w:lang w:val="fr-FR"/>
        </w:rPr>
        <w:t xml:space="preserve"> consacré par l'article 23 de la Constitution en ce que le n</w:t>
      </w:r>
      <w:r w:rsidRPr="00FC791F">
        <w:rPr>
          <w:rFonts w:ascii="Verdana" w:hAnsi="Verdana"/>
          <w:i/>
          <w:iCs/>
          <w:sz w:val="20"/>
          <w:szCs w:val="20"/>
          <w:lang w:val="fr-FR"/>
        </w:rPr>
        <w:t>i</w:t>
      </w:r>
      <w:r w:rsidRPr="00FC791F">
        <w:rPr>
          <w:rFonts w:ascii="Verdana" w:hAnsi="Verdana"/>
          <w:i/>
          <w:iCs/>
          <w:sz w:val="20"/>
          <w:szCs w:val="20"/>
          <w:lang w:val="fr-FR"/>
        </w:rPr>
        <w:t xml:space="preserve">veau de protection offert par la législation applicable en matière de rayonnements électromagnétiques est sensiblement réduit sans que des motifs d'intérêt général ne le justifient </w:t>
      </w:r>
      <w:r w:rsidRPr="00FC791F">
        <w:rPr>
          <w:rFonts w:ascii="Verdana" w:hAnsi="Verdana"/>
          <w:sz w:val="20"/>
          <w:szCs w:val="20"/>
          <w:lang w:val="fr-FR"/>
        </w:rPr>
        <w:t>?</w:t>
      </w:r>
    </w:p>
    <w:p w14:paraId="6335FAC5" w14:textId="77777777" w:rsidR="000D2EC0" w:rsidRPr="00FC791F" w:rsidRDefault="000D2EC0" w:rsidP="00C03246">
      <w:pPr>
        <w:spacing w:after="0" w:line="20" w:lineRule="atLeast"/>
        <w:jc w:val="both"/>
        <w:rPr>
          <w:rFonts w:ascii="Verdana" w:hAnsi="Verdana"/>
          <w:sz w:val="20"/>
          <w:szCs w:val="20"/>
          <w:lang w:val="fr-FR"/>
        </w:rPr>
      </w:pPr>
    </w:p>
    <w:p w14:paraId="5E6148DE" w14:textId="454FB5CD" w:rsidR="00C4386E" w:rsidRPr="00FC791F" w:rsidRDefault="007430D5" w:rsidP="00C03246">
      <w:pPr>
        <w:spacing w:after="0" w:line="20" w:lineRule="atLeast"/>
        <w:jc w:val="both"/>
        <w:rPr>
          <w:rFonts w:ascii="Verdana" w:hAnsi="Verdana"/>
          <w:sz w:val="20"/>
          <w:szCs w:val="20"/>
          <w:lang w:val="fr-FR"/>
        </w:rPr>
      </w:pPr>
      <w:r w:rsidRPr="00FC791F">
        <w:rPr>
          <w:rFonts w:ascii="Verdana" w:hAnsi="Verdana"/>
          <w:sz w:val="20"/>
          <w:szCs w:val="20"/>
          <w:lang w:val="fr-FR"/>
        </w:rPr>
        <w:t>S'il est établi que la protection de l'article 32 ne doit pas être réduite, les requérants peuvent également fonder leur demande sur cette disposition. Cela permettrait d'inte</w:t>
      </w:r>
      <w:r w:rsidRPr="00FC791F">
        <w:rPr>
          <w:rFonts w:ascii="Verdana" w:hAnsi="Verdana"/>
          <w:sz w:val="20"/>
          <w:szCs w:val="20"/>
          <w:lang w:val="fr-FR"/>
        </w:rPr>
        <w:t>r</w:t>
      </w:r>
      <w:r w:rsidRPr="00FC791F">
        <w:rPr>
          <w:rFonts w:ascii="Verdana" w:hAnsi="Verdana"/>
          <w:sz w:val="20"/>
          <w:szCs w:val="20"/>
          <w:lang w:val="fr-FR"/>
        </w:rPr>
        <w:t>dire les équipements qui présentent un risque pour la santé et la sécurité.</w:t>
      </w:r>
    </w:p>
    <w:p w14:paraId="1DFE5018" w14:textId="77777777" w:rsidR="004B3B5D" w:rsidRPr="00FC791F" w:rsidRDefault="004B3B5D" w:rsidP="00C03246">
      <w:pPr>
        <w:spacing w:after="0" w:line="20" w:lineRule="atLeast"/>
        <w:jc w:val="both"/>
        <w:rPr>
          <w:rFonts w:ascii="Verdana" w:hAnsi="Verdana"/>
          <w:sz w:val="20"/>
          <w:szCs w:val="20"/>
          <w:lang w:val="fr-FR"/>
        </w:rPr>
      </w:pPr>
    </w:p>
    <w:p w14:paraId="604C55BA" w14:textId="1CEE8117" w:rsidR="0083506F" w:rsidRPr="00FC791F" w:rsidRDefault="002B43C6" w:rsidP="00C03246">
      <w:pPr>
        <w:spacing w:after="0" w:line="20" w:lineRule="atLeast"/>
        <w:jc w:val="both"/>
        <w:rPr>
          <w:rFonts w:ascii="Verdana" w:hAnsi="Verdana"/>
          <w:b/>
          <w:bCs/>
          <w:sz w:val="20"/>
          <w:szCs w:val="20"/>
          <w:u w:val="single"/>
          <w:lang w:val="fr-FR"/>
        </w:rPr>
      </w:pPr>
      <w:r w:rsidRPr="00FC791F">
        <w:rPr>
          <w:rFonts w:ascii="Verdana" w:hAnsi="Verdana"/>
          <w:b/>
          <w:bCs/>
          <w:sz w:val="20"/>
          <w:szCs w:val="20"/>
          <w:u w:val="single"/>
          <w:lang w:val="fr-FR"/>
        </w:rPr>
        <w:t>E</w:t>
      </w:r>
      <w:r w:rsidR="00A24659" w:rsidRPr="00FC791F">
        <w:rPr>
          <w:rFonts w:ascii="Verdana" w:hAnsi="Verdana"/>
          <w:b/>
          <w:bCs/>
          <w:sz w:val="20"/>
          <w:szCs w:val="20"/>
          <w:u w:val="single"/>
          <w:lang w:val="fr-FR"/>
        </w:rPr>
        <w:t>. LA NÉGLIGENCE DES DÉFENDEURS CONSTITUE UN DÉLIT CIVIL</w:t>
      </w:r>
    </w:p>
    <w:p w14:paraId="7D7F8206" w14:textId="77777777" w:rsidR="009C1E0A" w:rsidRDefault="009C1E0A" w:rsidP="00C03246">
      <w:pPr>
        <w:pStyle w:val="Sansinterligne"/>
        <w:spacing w:line="20" w:lineRule="atLeast"/>
        <w:jc w:val="both"/>
        <w:rPr>
          <w:rFonts w:ascii="Verdana" w:hAnsi="Verdana"/>
          <w:sz w:val="20"/>
          <w:szCs w:val="20"/>
          <w:lang w:val="fr-FR"/>
        </w:rPr>
      </w:pPr>
    </w:p>
    <w:p w14:paraId="54C89639" w14:textId="15050AE4" w:rsidR="00A24659" w:rsidRPr="00FC791F" w:rsidRDefault="003B099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23</w:t>
      </w:r>
      <w:r w:rsidR="00D25017" w:rsidRPr="00FC791F">
        <w:rPr>
          <w:rFonts w:ascii="Verdana" w:hAnsi="Verdana"/>
          <w:sz w:val="20"/>
          <w:szCs w:val="20"/>
          <w:lang w:val="fr-FR"/>
        </w:rPr>
        <w:t>.</w:t>
      </w:r>
    </w:p>
    <w:p w14:paraId="6B5D84D3" w14:textId="3F4F003A" w:rsidR="00A24659" w:rsidRPr="00FC791F" w:rsidRDefault="00F86662"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Dans cette procédure, le devoir de diligence doit être interprété en termes de devoir de prévention et de précaution. Le fait que le principe de précaution nous oblige à prendre en compte des risques qui n'ont pas encore été pleinement démontrés signifie que nous devons par conséquent faire preuve d'une vigilance et d'une prudence accrues (par exemple, pour éviter l'</w:t>
      </w:r>
      <w:r w:rsidR="00A24659" w:rsidRPr="00FC791F">
        <w:rPr>
          <w:rFonts w:ascii="Verdana" w:hAnsi="Verdana"/>
          <w:sz w:val="20"/>
          <w:szCs w:val="20"/>
          <w:lang w:val="fr-FR"/>
        </w:rPr>
        <w:t>exposition aux rayonnements</w:t>
      </w:r>
      <w:r w:rsidRPr="00FC791F">
        <w:rPr>
          <w:rFonts w:ascii="Verdana" w:hAnsi="Verdana"/>
          <w:sz w:val="20"/>
          <w:szCs w:val="20"/>
          <w:lang w:val="fr-FR"/>
        </w:rPr>
        <w:t xml:space="preserve">). </w:t>
      </w:r>
    </w:p>
    <w:p w14:paraId="437352B9" w14:textId="77777777" w:rsidR="00A24659" w:rsidRPr="00FC791F" w:rsidRDefault="00A24659" w:rsidP="00C03246">
      <w:pPr>
        <w:spacing w:after="0" w:line="20" w:lineRule="atLeast"/>
        <w:jc w:val="both"/>
        <w:rPr>
          <w:rFonts w:ascii="Verdana" w:hAnsi="Verdana"/>
          <w:sz w:val="20"/>
          <w:szCs w:val="20"/>
          <w:lang w:val="fr-FR"/>
        </w:rPr>
      </w:pPr>
    </w:p>
    <w:p w14:paraId="6B20C55C" w14:textId="54A0204D" w:rsidR="0083506F" w:rsidRPr="00FC791F" w:rsidRDefault="00A24659" w:rsidP="00C03246">
      <w:pPr>
        <w:spacing w:after="0" w:line="20" w:lineRule="atLeast"/>
        <w:jc w:val="both"/>
        <w:rPr>
          <w:rFonts w:ascii="Verdana" w:hAnsi="Verdana"/>
          <w:sz w:val="20"/>
          <w:szCs w:val="20"/>
          <w:lang w:val="fr-FR"/>
        </w:rPr>
      </w:pPr>
      <w:r w:rsidRPr="00FC791F">
        <w:rPr>
          <w:rFonts w:ascii="Verdana" w:hAnsi="Verdana"/>
          <w:sz w:val="20"/>
          <w:szCs w:val="20"/>
          <w:lang w:val="fr-FR"/>
        </w:rPr>
        <w:t xml:space="preserve">Cela place </w:t>
      </w:r>
      <w:r w:rsidR="00F86662" w:rsidRPr="00FC791F">
        <w:rPr>
          <w:rFonts w:ascii="Verdana" w:hAnsi="Verdana"/>
          <w:sz w:val="20"/>
          <w:szCs w:val="20"/>
          <w:lang w:val="fr-FR"/>
        </w:rPr>
        <w:t>les défendeurs dans l'obligation de prendre des mesures préventives lorsqu'il est prévisible que des dommages physiques très graves peuvent être causés aux requ</w:t>
      </w:r>
      <w:r w:rsidR="00F86662" w:rsidRPr="00FC791F">
        <w:rPr>
          <w:rFonts w:ascii="Verdana" w:hAnsi="Verdana"/>
          <w:sz w:val="20"/>
          <w:szCs w:val="20"/>
          <w:lang w:val="fr-FR"/>
        </w:rPr>
        <w:t>é</w:t>
      </w:r>
      <w:r w:rsidR="00F86662" w:rsidRPr="00FC791F">
        <w:rPr>
          <w:rFonts w:ascii="Verdana" w:hAnsi="Verdana"/>
          <w:sz w:val="20"/>
          <w:szCs w:val="20"/>
          <w:lang w:val="fr-FR"/>
        </w:rPr>
        <w:t>rants. Il n'est pas nécessaire que l'étendue ou la nature du préjudice soit déjà établie, sinon il ne serait jamais possible d'imposer des mesures préventives.</w:t>
      </w:r>
    </w:p>
    <w:p w14:paraId="0CFDA15F" w14:textId="77777777" w:rsidR="000D2EC0" w:rsidRDefault="000D2EC0" w:rsidP="00C03246">
      <w:pPr>
        <w:spacing w:after="0" w:line="20" w:lineRule="atLeast"/>
        <w:jc w:val="both"/>
        <w:rPr>
          <w:rFonts w:ascii="Verdana" w:hAnsi="Verdana"/>
          <w:sz w:val="20"/>
          <w:szCs w:val="20"/>
          <w:lang w:val="fr-FR"/>
        </w:rPr>
      </w:pPr>
    </w:p>
    <w:p w14:paraId="1E04114D" w14:textId="1DC70B2E" w:rsidR="00A24659" w:rsidRPr="00FC791F" w:rsidRDefault="00A24659" w:rsidP="00C03246">
      <w:pPr>
        <w:spacing w:after="0" w:line="20" w:lineRule="atLeast"/>
        <w:jc w:val="both"/>
        <w:rPr>
          <w:rFonts w:ascii="Verdana" w:hAnsi="Verdana"/>
          <w:sz w:val="20"/>
          <w:szCs w:val="20"/>
          <w:lang w:val="fr-FR"/>
        </w:rPr>
      </w:pPr>
      <w:r w:rsidRPr="00FC791F">
        <w:rPr>
          <w:rFonts w:ascii="Verdana" w:hAnsi="Verdana"/>
          <w:sz w:val="20"/>
          <w:szCs w:val="20"/>
          <w:lang w:val="fr-FR"/>
        </w:rPr>
        <w:t xml:space="preserve">À l'heure actuelle, </w:t>
      </w:r>
      <w:r w:rsidR="000D75F4" w:rsidRPr="00FC791F">
        <w:rPr>
          <w:rFonts w:ascii="Verdana" w:hAnsi="Verdana"/>
          <w:sz w:val="20"/>
          <w:szCs w:val="20"/>
          <w:lang w:val="fr-FR"/>
        </w:rPr>
        <w:t xml:space="preserve">aucune </w:t>
      </w:r>
      <w:r w:rsidRPr="00FC791F">
        <w:rPr>
          <w:rFonts w:ascii="Verdana" w:hAnsi="Verdana"/>
          <w:sz w:val="20"/>
          <w:szCs w:val="20"/>
          <w:lang w:val="fr-FR"/>
        </w:rPr>
        <w:t xml:space="preserve">mesure ou intervention </w:t>
      </w:r>
      <w:r w:rsidR="009C1E0A">
        <w:rPr>
          <w:rFonts w:ascii="Verdana" w:hAnsi="Verdana"/>
          <w:sz w:val="20"/>
          <w:szCs w:val="20"/>
          <w:lang w:val="fr-FR"/>
        </w:rPr>
        <w:t>n’a été prévue à</w:t>
      </w:r>
      <w:r w:rsidRPr="00FC791F">
        <w:rPr>
          <w:rFonts w:ascii="Verdana" w:hAnsi="Verdana"/>
          <w:sz w:val="20"/>
          <w:szCs w:val="20"/>
          <w:lang w:val="fr-FR"/>
        </w:rPr>
        <w:t xml:space="preserve"> laquelle les dema</w:t>
      </w:r>
      <w:r w:rsidRPr="00FC791F">
        <w:rPr>
          <w:rFonts w:ascii="Verdana" w:hAnsi="Verdana"/>
          <w:sz w:val="20"/>
          <w:szCs w:val="20"/>
          <w:lang w:val="fr-FR"/>
        </w:rPr>
        <w:t>n</w:t>
      </w:r>
      <w:r w:rsidRPr="00FC791F">
        <w:rPr>
          <w:rFonts w:ascii="Verdana" w:hAnsi="Verdana"/>
          <w:sz w:val="20"/>
          <w:szCs w:val="20"/>
          <w:lang w:val="fr-FR"/>
        </w:rPr>
        <w:t xml:space="preserve">deurs peuvent </w:t>
      </w:r>
      <w:r w:rsidR="009C1E0A">
        <w:rPr>
          <w:rFonts w:ascii="Verdana" w:hAnsi="Verdana"/>
          <w:sz w:val="20"/>
          <w:szCs w:val="20"/>
          <w:lang w:val="fr-FR"/>
        </w:rPr>
        <w:t>se référe</w:t>
      </w:r>
      <w:r w:rsidRPr="00FC791F">
        <w:rPr>
          <w:rFonts w:ascii="Verdana" w:hAnsi="Verdana"/>
          <w:sz w:val="20"/>
          <w:szCs w:val="20"/>
          <w:lang w:val="fr-FR"/>
        </w:rPr>
        <w:t xml:space="preserve">r </w:t>
      </w:r>
      <w:r w:rsidR="009C1E0A">
        <w:rPr>
          <w:rFonts w:ascii="Verdana" w:hAnsi="Verdana"/>
          <w:sz w:val="20"/>
          <w:szCs w:val="20"/>
          <w:lang w:val="fr-FR"/>
        </w:rPr>
        <w:t>afin d’</w:t>
      </w:r>
      <w:r w:rsidRPr="00FC791F">
        <w:rPr>
          <w:rFonts w:ascii="Verdana" w:hAnsi="Verdana"/>
          <w:sz w:val="20"/>
          <w:szCs w:val="20"/>
          <w:lang w:val="fr-FR"/>
        </w:rPr>
        <w:t>éviter l'exposition aux rayonnements.</w:t>
      </w:r>
    </w:p>
    <w:p w14:paraId="2638615C" w14:textId="77777777" w:rsidR="000B244A" w:rsidRPr="00FC791F" w:rsidRDefault="000B244A" w:rsidP="00C03246">
      <w:pPr>
        <w:pStyle w:val="Sansinterligne"/>
        <w:spacing w:line="20" w:lineRule="atLeast"/>
        <w:jc w:val="both"/>
        <w:rPr>
          <w:rFonts w:ascii="Verdana" w:hAnsi="Verdana"/>
          <w:sz w:val="20"/>
          <w:szCs w:val="20"/>
          <w:lang w:val="fr-FR"/>
        </w:rPr>
      </w:pPr>
    </w:p>
    <w:p w14:paraId="4BA08B68" w14:textId="68E42780" w:rsidR="00A24659" w:rsidRPr="00FC791F" w:rsidRDefault="003B099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24</w:t>
      </w:r>
      <w:r w:rsidR="00A24659" w:rsidRPr="00FC791F">
        <w:rPr>
          <w:rFonts w:ascii="Verdana" w:hAnsi="Verdana"/>
          <w:sz w:val="20"/>
          <w:szCs w:val="20"/>
          <w:lang w:val="fr-FR"/>
        </w:rPr>
        <w:t>.</w:t>
      </w:r>
    </w:p>
    <w:p w14:paraId="49CED5AE" w14:textId="48EE9C8B" w:rsidR="00F86662" w:rsidRPr="00FC791F" w:rsidRDefault="00F86662" w:rsidP="00C03246">
      <w:pPr>
        <w:pStyle w:val="Sansinterligne"/>
        <w:spacing w:line="20" w:lineRule="atLeast"/>
        <w:jc w:val="both"/>
        <w:rPr>
          <w:rFonts w:ascii="Verdana" w:hAnsi="Verdana"/>
          <w:sz w:val="20"/>
          <w:szCs w:val="20"/>
          <w:lang w:val="fr-FR"/>
        </w:rPr>
      </w:pPr>
      <w:r w:rsidRPr="004C67DB">
        <w:rPr>
          <w:rFonts w:ascii="Verdana" w:hAnsi="Verdana"/>
          <w:sz w:val="20"/>
          <w:szCs w:val="20"/>
          <w:lang w:val="fr-FR"/>
        </w:rPr>
        <w:t xml:space="preserve">Les </w:t>
      </w:r>
      <w:r w:rsidR="009C1E0A" w:rsidRPr="00FC791F">
        <w:rPr>
          <w:rFonts w:ascii="Verdana" w:hAnsi="Verdana"/>
          <w:sz w:val="20"/>
          <w:szCs w:val="20"/>
          <w:lang w:val="fr-FR"/>
        </w:rPr>
        <w:t>rayonnements</w:t>
      </w:r>
      <w:r w:rsidRPr="004C67DB">
        <w:rPr>
          <w:rFonts w:ascii="Verdana" w:hAnsi="Verdana"/>
          <w:sz w:val="20"/>
          <w:szCs w:val="20"/>
          <w:lang w:val="fr-FR"/>
        </w:rPr>
        <w:t xml:space="preserve"> causent déjà des dommages, notamment sous la forme d'atteintes à la santé et au moral.</w:t>
      </w:r>
    </w:p>
    <w:p w14:paraId="10C46CBE" w14:textId="77777777" w:rsidR="00C6383B" w:rsidRPr="00FC791F" w:rsidRDefault="00C6383B" w:rsidP="00C03246">
      <w:pPr>
        <w:pStyle w:val="Sansinterligne"/>
        <w:spacing w:line="20" w:lineRule="atLeast"/>
        <w:jc w:val="both"/>
        <w:rPr>
          <w:rFonts w:ascii="Verdana" w:hAnsi="Verdana"/>
          <w:sz w:val="20"/>
          <w:szCs w:val="20"/>
          <w:lang w:val="fr-FR"/>
        </w:rPr>
      </w:pPr>
    </w:p>
    <w:p w14:paraId="33A9C71B" w14:textId="1E754447" w:rsidR="00A24659" w:rsidRPr="00FC791F" w:rsidRDefault="003B099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lastRenderedPageBreak/>
        <w:t>25</w:t>
      </w:r>
      <w:r w:rsidR="00F86662" w:rsidRPr="00FC791F">
        <w:rPr>
          <w:rFonts w:ascii="Verdana" w:hAnsi="Verdana"/>
          <w:sz w:val="20"/>
          <w:szCs w:val="20"/>
          <w:lang w:val="fr-FR"/>
        </w:rPr>
        <w:t>.</w:t>
      </w:r>
    </w:p>
    <w:p w14:paraId="41EB0CD5" w14:textId="472E3918" w:rsidR="00F86662" w:rsidRPr="00FC791F" w:rsidRDefault="00F86662" w:rsidP="00C03246">
      <w:pPr>
        <w:pStyle w:val="Sansinterligne"/>
        <w:spacing w:line="20" w:lineRule="atLeast"/>
        <w:jc w:val="both"/>
        <w:rPr>
          <w:rFonts w:ascii="Verdana" w:hAnsi="Verdana"/>
          <w:sz w:val="20"/>
          <w:szCs w:val="20"/>
          <w:lang w:val="fr-FR"/>
        </w:rPr>
      </w:pPr>
      <w:r w:rsidRPr="00837721">
        <w:rPr>
          <w:rFonts w:ascii="Verdana" w:hAnsi="Verdana"/>
          <w:sz w:val="20"/>
          <w:szCs w:val="20"/>
          <w:lang w:val="fr-FR"/>
        </w:rPr>
        <w:t xml:space="preserve">Les dommages futurs peuvent faire l'objet d'une récupération si leur réalisation </w:t>
      </w:r>
      <w:r w:rsidR="008A122D" w:rsidRPr="00837721">
        <w:rPr>
          <w:rFonts w:ascii="Verdana" w:hAnsi="Verdana"/>
          <w:sz w:val="20"/>
          <w:szCs w:val="20"/>
          <w:lang w:val="fr-FR"/>
        </w:rPr>
        <w:t>découle</w:t>
      </w:r>
      <w:r w:rsidRPr="00837721">
        <w:rPr>
          <w:rFonts w:ascii="Verdana" w:hAnsi="Verdana"/>
          <w:sz w:val="20"/>
          <w:szCs w:val="20"/>
          <w:lang w:val="fr-FR"/>
        </w:rPr>
        <w:t xml:space="preserve"> d'une condition actuelle.</w:t>
      </w:r>
      <w:r w:rsidRPr="00FC791F">
        <w:rPr>
          <w:rFonts w:ascii="Verdana" w:hAnsi="Verdana"/>
          <w:sz w:val="20"/>
          <w:szCs w:val="20"/>
          <w:lang w:val="fr-FR"/>
        </w:rPr>
        <w:t xml:space="preserve"> </w:t>
      </w:r>
    </w:p>
    <w:p w14:paraId="3B3233D8" w14:textId="77777777" w:rsidR="00C6383B" w:rsidRPr="00FC791F" w:rsidRDefault="00C6383B" w:rsidP="00C03246">
      <w:pPr>
        <w:pStyle w:val="Sansinterligne"/>
        <w:spacing w:line="20" w:lineRule="atLeast"/>
        <w:jc w:val="both"/>
        <w:rPr>
          <w:rFonts w:ascii="Verdana" w:hAnsi="Verdana"/>
          <w:sz w:val="20"/>
          <w:szCs w:val="20"/>
          <w:lang w:val="fr-FR"/>
        </w:rPr>
      </w:pPr>
    </w:p>
    <w:p w14:paraId="4FCAD99A" w14:textId="71661F73" w:rsidR="00F86662" w:rsidRPr="00FC791F" w:rsidRDefault="00F86662" w:rsidP="00C03246">
      <w:pPr>
        <w:pStyle w:val="Sansinterligne"/>
        <w:spacing w:line="20" w:lineRule="atLeast"/>
        <w:jc w:val="both"/>
        <w:rPr>
          <w:rFonts w:ascii="Verdana" w:hAnsi="Verdana"/>
          <w:sz w:val="20"/>
          <w:szCs w:val="20"/>
          <w:lang w:val="fr-FR"/>
        </w:rPr>
      </w:pPr>
      <w:r w:rsidRPr="00C32501">
        <w:rPr>
          <w:rFonts w:ascii="Verdana" w:hAnsi="Verdana"/>
          <w:sz w:val="20"/>
          <w:szCs w:val="20"/>
          <w:lang w:val="fr-FR"/>
        </w:rPr>
        <w:t xml:space="preserve">Dans cette procédure, les requérants ne demandent pas une compensation pécuniaire mais, entre autres, une injonction (ce qui est leur droit). La même conclusion s'impose néanmoins : </w:t>
      </w:r>
      <w:r w:rsidR="00C32501">
        <w:rPr>
          <w:rFonts w:ascii="Verdana" w:hAnsi="Verdana"/>
          <w:sz w:val="20"/>
          <w:szCs w:val="20"/>
          <w:lang w:val="fr-FR"/>
        </w:rPr>
        <w:t>l</w:t>
      </w:r>
      <w:r w:rsidRPr="00FC791F">
        <w:rPr>
          <w:rFonts w:ascii="Verdana" w:hAnsi="Verdana"/>
          <w:sz w:val="20"/>
          <w:szCs w:val="20"/>
          <w:lang w:val="fr-FR"/>
        </w:rPr>
        <w:t>e fait que l'étendue du dommage ne puisse être mesurée avec précision n'affecte pas le devoir des défendeurs d'y remédier, voire de le prévenir si possible.</w:t>
      </w:r>
    </w:p>
    <w:p w14:paraId="591F8CB9" w14:textId="77777777" w:rsidR="00A24659" w:rsidRPr="00FC791F" w:rsidRDefault="00A24659" w:rsidP="00C03246">
      <w:pPr>
        <w:pStyle w:val="Sansinterligne"/>
        <w:spacing w:line="20" w:lineRule="atLeast"/>
        <w:jc w:val="both"/>
        <w:rPr>
          <w:rFonts w:ascii="Verdana" w:hAnsi="Verdana"/>
          <w:sz w:val="20"/>
          <w:szCs w:val="20"/>
          <w:lang w:val="fr-FR"/>
        </w:rPr>
      </w:pPr>
    </w:p>
    <w:p w14:paraId="537E2721" w14:textId="4BE2738F" w:rsidR="0083506F" w:rsidRPr="00FC791F" w:rsidRDefault="00F86662"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Le fait que les requérants subiront certainement aussi un préjudice à l'avenir découle du fait que leur détresse morale ne fera qu'augmenter au fur et à mesure que la fenêtre temporelle pour agir se refermera. Il s'agit donc naturellement du bien-être psychol</w:t>
      </w:r>
      <w:r w:rsidRPr="00FC791F">
        <w:rPr>
          <w:rFonts w:ascii="Verdana" w:hAnsi="Verdana"/>
          <w:sz w:val="20"/>
          <w:szCs w:val="20"/>
          <w:lang w:val="fr-FR"/>
        </w:rPr>
        <w:t>o</w:t>
      </w:r>
      <w:r w:rsidRPr="00FC791F">
        <w:rPr>
          <w:rFonts w:ascii="Verdana" w:hAnsi="Verdana"/>
          <w:sz w:val="20"/>
          <w:szCs w:val="20"/>
          <w:lang w:val="fr-FR"/>
        </w:rPr>
        <w:t>gique des demandeurs.</w:t>
      </w:r>
    </w:p>
    <w:p w14:paraId="65303559" w14:textId="12E4BFA0" w:rsidR="00F86662" w:rsidRPr="00FC791F" w:rsidRDefault="00F86662" w:rsidP="00C03246">
      <w:pPr>
        <w:spacing w:after="0" w:line="20" w:lineRule="atLeast"/>
        <w:jc w:val="both"/>
        <w:rPr>
          <w:rFonts w:ascii="Verdana" w:hAnsi="Verdana"/>
          <w:sz w:val="20"/>
          <w:szCs w:val="20"/>
          <w:lang w:val="fr-FR"/>
        </w:rPr>
      </w:pPr>
    </w:p>
    <w:p w14:paraId="6C9816BE" w14:textId="2323E358" w:rsidR="009B78E4" w:rsidRPr="00FC791F" w:rsidRDefault="003B099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26</w:t>
      </w:r>
      <w:r w:rsidR="009B78E4" w:rsidRPr="00FC791F">
        <w:rPr>
          <w:rFonts w:ascii="Verdana" w:hAnsi="Verdana"/>
          <w:sz w:val="20"/>
          <w:szCs w:val="20"/>
          <w:lang w:val="fr-FR"/>
        </w:rPr>
        <w:t>.</w:t>
      </w:r>
    </w:p>
    <w:p w14:paraId="0A67BA27" w14:textId="71FD3344" w:rsidR="009B78E4" w:rsidRPr="00FC791F" w:rsidRDefault="009B78E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Par conséquent, les requérants demandent que les défendeurs appliquent une norme d</w:t>
      </w:r>
      <w:r w:rsidR="00C32501">
        <w:rPr>
          <w:rFonts w:ascii="Verdana" w:hAnsi="Verdana"/>
          <w:sz w:val="20"/>
          <w:szCs w:val="20"/>
          <w:lang w:val="fr-FR"/>
        </w:rPr>
        <w:t>’émissions des</w:t>
      </w:r>
      <w:r w:rsidRPr="00FC791F">
        <w:rPr>
          <w:rFonts w:ascii="Verdana" w:hAnsi="Verdana"/>
          <w:sz w:val="20"/>
          <w:szCs w:val="20"/>
          <w:lang w:val="fr-FR"/>
        </w:rPr>
        <w:t xml:space="preserve"> radiation</w:t>
      </w:r>
      <w:r w:rsidR="00C32501">
        <w:rPr>
          <w:rFonts w:ascii="Verdana" w:hAnsi="Verdana"/>
          <w:sz w:val="20"/>
          <w:szCs w:val="20"/>
          <w:lang w:val="fr-FR"/>
        </w:rPr>
        <w:t>s</w:t>
      </w:r>
      <w:r w:rsidRPr="00FC791F">
        <w:rPr>
          <w:rFonts w:ascii="Verdana" w:hAnsi="Verdana"/>
          <w:sz w:val="20"/>
          <w:szCs w:val="20"/>
          <w:lang w:val="fr-FR"/>
        </w:rPr>
        <w:t xml:space="preserve"> cumulative de 0,6 V/</w:t>
      </w:r>
      <w:r w:rsidR="00C32501">
        <w:rPr>
          <w:rFonts w:ascii="Verdana" w:hAnsi="Verdana"/>
          <w:sz w:val="20"/>
          <w:szCs w:val="20"/>
          <w:lang w:val="fr-FR"/>
        </w:rPr>
        <w:t>m</w:t>
      </w:r>
      <w:r w:rsidRPr="00FC791F">
        <w:rPr>
          <w:rFonts w:ascii="Verdana" w:hAnsi="Verdana"/>
          <w:sz w:val="20"/>
          <w:szCs w:val="20"/>
          <w:lang w:val="fr-FR"/>
        </w:rPr>
        <w:t xml:space="preserve"> (ou moins) suivant l'avis du Conseil supérieur de la santé.</w:t>
      </w:r>
    </w:p>
    <w:p w14:paraId="655748D5" w14:textId="77777777" w:rsidR="009B78E4" w:rsidRPr="00FC791F" w:rsidRDefault="009B78E4" w:rsidP="00C03246">
      <w:pPr>
        <w:pStyle w:val="Sansinterligne"/>
        <w:spacing w:line="20" w:lineRule="atLeast"/>
        <w:jc w:val="both"/>
        <w:rPr>
          <w:rFonts w:ascii="Verdana" w:hAnsi="Verdana"/>
          <w:sz w:val="20"/>
          <w:szCs w:val="20"/>
          <w:lang w:val="fr-FR"/>
        </w:rPr>
      </w:pPr>
    </w:p>
    <w:p w14:paraId="58F11C7A" w14:textId="37879491" w:rsidR="00815214" w:rsidRPr="00FC791F" w:rsidRDefault="009B78E4" w:rsidP="00C03246">
      <w:pPr>
        <w:pStyle w:val="Sansinterligne"/>
        <w:spacing w:line="20" w:lineRule="atLeast"/>
        <w:jc w:val="both"/>
        <w:rPr>
          <w:lang w:val="fr-FR"/>
        </w:rPr>
      </w:pPr>
      <w:r w:rsidRPr="00FC791F">
        <w:rPr>
          <w:rFonts w:ascii="Verdana" w:hAnsi="Verdana"/>
          <w:sz w:val="20"/>
          <w:szCs w:val="20"/>
          <w:lang w:val="fr-FR"/>
        </w:rPr>
        <w:t xml:space="preserve">Le 6 mai 2011, le Conseil de l'Europe, </w:t>
      </w:r>
      <w:r w:rsidR="00C32501">
        <w:rPr>
          <w:rFonts w:ascii="Verdana" w:hAnsi="Verdana"/>
          <w:sz w:val="20"/>
          <w:szCs w:val="20"/>
          <w:lang w:val="fr-FR"/>
        </w:rPr>
        <w:t>sous la présidence de</w:t>
      </w:r>
      <w:r w:rsidRPr="00FC791F">
        <w:rPr>
          <w:rFonts w:ascii="Verdana" w:hAnsi="Verdana"/>
          <w:sz w:val="20"/>
          <w:szCs w:val="20"/>
          <w:lang w:val="fr-FR"/>
        </w:rPr>
        <w:t xml:space="preserve"> Jean Huss, a publié un ra</w:t>
      </w:r>
      <w:r w:rsidRPr="00FC791F">
        <w:rPr>
          <w:rFonts w:ascii="Verdana" w:hAnsi="Verdana"/>
          <w:sz w:val="20"/>
          <w:szCs w:val="20"/>
          <w:lang w:val="fr-FR"/>
        </w:rPr>
        <w:t>p</w:t>
      </w:r>
      <w:r w:rsidRPr="00FC791F">
        <w:rPr>
          <w:rFonts w:ascii="Verdana" w:hAnsi="Verdana"/>
          <w:sz w:val="20"/>
          <w:szCs w:val="20"/>
          <w:lang w:val="fr-FR"/>
        </w:rPr>
        <w:t xml:space="preserve">port sur les risques sanitaires liés aux champs électromagnétiques. Le rapport préconise une réduction des limites d'exposition. La limite d'exposition conseillée est de 0,2 Volt par mètre. Cela représente 100 microwatts par mètre carré, soit environ 100 000 fois (!) moins que la limite d'exposition actuelle. </w:t>
      </w:r>
      <w:r w:rsidRPr="00FC791F">
        <w:rPr>
          <w:lang w:val="fr-FR"/>
        </w:rPr>
        <w:t>(</w:t>
      </w:r>
      <w:r w:rsidRPr="00C32501">
        <w:rPr>
          <w:rFonts w:ascii="Verdana" w:hAnsi="Verdana"/>
          <w:sz w:val="20"/>
          <w:szCs w:val="20"/>
          <w:lang w:val="fr-FR"/>
        </w:rPr>
        <w:t>Conseil de l'Europe</w:t>
      </w:r>
      <w:r w:rsidRPr="00C32501">
        <w:rPr>
          <w:sz w:val="20"/>
          <w:szCs w:val="20"/>
          <w:lang w:val="fr-FR"/>
        </w:rPr>
        <w:t xml:space="preserve">, </w:t>
      </w:r>
      <w:r w:rsidRPr="00C32501">
        <w:rPr>
          <w:rFonts w:ascii="Verdana" w:hAnsi="Verdana"/>
          <w:i/>
          <w:iCs/>
          <w:sz w:val="20"/>
          <w:szCs w:val="20"/>
          <w:lang w:val="fr-FR"/>
        </w:rPr>
        <w:t>Doc. 12608</w:t>
      </w:r>
      <w:r w:rsidRPr="00FC791F">
        <w:rPr>
          <w:rFonts w:ascii="Verdana" w:hAnsi="Verdana"/>
          <w:sz w:val="20"/>
          <w:szCs w:val="20"/>
          <w:lang w:val="fr-FR"/>
        </w:rPr>
        <w:t xml:space="preserve">) </w:t>
      </w:r>
    </w:p>
    <w:p w14:paraId="50D65C24" w14:textId="77777777" w:rsidR="00815214" w:rsidRPr="00FC791F" w:rsidRDefault="00815214" w:rsidP="00C03246">
      <w:pPr>
        <w:pStyle w:val="Sansinterligne"/>
        <w:spacing w:line="20" w:lineRule="atLeast"/>
        <w:jc w:val="both"/>
        <w:rPr>
          <w:lang w:val="fr-FR"/>
        </w:rPr>
      </w:pPr>
    </w:p>
    <w:p w14:paraId="25C1D9E8" w14:textId="14985E52" w:rsidR="009B78E4" w:rsidRPr="00FC791F" w:rsidRDefault="004B3B5D"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 xml:space="preserve">L'avis </w:t>
      </w:r>
      <w:r w:rsidR="00C32501">
        <w:rPr>
          <w:rFonts w:ascii="Verdana" w:hAnsi="Verdana"/>
          <w:sz w:val="20"/>
          <w:szCs w:val="20"/>
          <w:lang w:val="fr-FR"/>
        </w:rPr>
        <w:t>du rapport</w:t>
      </w:r>
      <w:r w:rsidRPr="00FC791F">
        <w:rPr>
          <w:rFonts w:ascii="Verdana" w:hAnsi="Verdana"/>
          <w:sz w:val="20"/>
          <w:szCs w:val="20"/>
          <w:lang w:val="fr-FR"/>
        </w:rPr>
        <w:t xml:space="preserve"> BioInitiative de 2012 </w:t>
      </w:r>
      <w:r w:rsidR="00C32501">
        <w:rPr>
          <w:rFonts w:ascii="Verdana" w:hAnsi="Verdana"/>
          <w:sz w:val="20"/>
          <w:szCs w:val="20"/>
          <w:lang w:val="fr-FR"/>
        </w:rPr>
        <w:t>propos</w:t>
      </w:r>
      <w:r w:rsidR="00815214" w:rsidRPr="00FC791F">
        <w:rPr>
          <w:rFonts w:ascii="Verdana" w:hAnsi="Verdana"/>
          <w:sz w:val="20"/>
          <w:szCs w:val="20"/>
          <w:lang w:val="fr-FR"/>
        </w:rPr>
        <w:t xml:space="preserve">e </w:t>
      </w:r>
      <w:r w:rsidRPr="00FC791F">
        <w:rPr>
          <w:rFonts w:ascii="Verdana" w:hAnsi="Verdana"/>
          <w:sz w:val="20"/>
          <w:szCs w:val="20"/>
          <w:lang w:val="fr-FR"/>
        </w:rPr>
        <w:t>exactement la même norme (BioInitiative 2012, section 17 : Key Scientific Evidence and Public Health Policy Recommendations.</w:t>
      </w:r>
      <w:r w:rsidR="00815214" w:rsidRPr="00FC791F">
        <w:rPr>
          <w:rFonts w:ascii="Verdana" w:hAnsi="Verdana"/>
          <w:sz w:val="20"/>
          <w:szCs w:val="20"/>
          <w:lang w:val="fr-FR"/>
        </w:rPr>
        <w:t>) Ils proposent une limite de précaution cumulative de 1000</w:t>
      </w:r>
      <w:r w:rsidRPr="00FC791F">
        <w:rPr>
          <w:rFonts w:ascii="Verdana" w:hAnsi="Verdana"/>
          <w:sz w:val="20"/>
          <w:szCs w:val="20"/>
          <w:lang w:val="fr-FR"/>
        </w:rPr>
        <w:t xml:space="preserve"> </w:t>
      </w:r>
      <w:r w:rsidRPr="004B3B5D">
        <w:rPr>
          <w:rFonts w:ascii="Verdana" w:hAnsi="Verdana"/>
          <w:sz w:val="20"/>
          <w:szCs w:val="20"/>
        </w:rPr>
        <w:t>μ</w:t>
      </w:r>
      <w:r w:rsidRPr="00FC791F">
        <w:rPr>
          <w:rFonts w:ascii="Verdana" w:hAnsi="Verdana"/>
          <w:sz w:val="20"/>
          <w:szCs w:val="20"/>
          <w:lang w:val="fr-FR"/>
        </w:rPr>
        <w:t>W/m</w:t>
      </w:r>
      <w:r w:rsidR="00C32501">
        <w:rPr>
          <w:rFonts w:ascii="Verdana" w:hAnsi="Verdana"/>
          <w:sz w:val="20"/>
          <w:szCs w:val="20"/>
          <w:lang w:val="fr-FR"/>
        </w:rPr>
        <w:t>²</w:t>
      </w:r>
      <w:r w:rsidRPr="00FC791F">
        <w:rPr>
          <w:rFonts w:ascii="Verdana" w:hAnsi="Verdana"/>
          <w:sz w:val="20"/>
          <w:szCs w:val="20"/>
          <w:lang w:val="fr-FR"/>
        </w:rPr>
        <w:t xml:space="preserve"> </w:t>
      </w:r>
      <w:r w:rsidR="00815214" w:rsidRPr="00FC791F">
        <w:rPr>
          <w:rFonts w:ascii="Verdana" w:hAnsi="Verdana"/>
          <w:sz w:val="20"/>
          <w:szCs w:val="20"/>
          <w:lang w:val="fr-FR"/>
        </w:rPr>
        <w:t xml:space="preserve">ou </w:t>
      </w:r>
      <w:r w:rsidRPr="00FC791F">
        <w:rPr>
          <w:rFonts w:ascii="Verdana" w:hAnsi="Verdana"/>
          <w:sz w:val="20"/>
          <w:szCs w:val="20"/>
          <w:lang w:val="fr-FR"/>
        </w:rPr>
        <w:t xml:space="preserve">0,614 V/m </w:t>
      </w:r>
      <w:r w:rsidR="003C269E">
        <w:rPr>
          <w:rFonts w:ascii="Verdana" w:hAnsi="Verdana"/>
          <w:sz w:val="20"/>
          <w:szCs w:val="20"/>
          <w:lang w:val="fr-FR"/>
        </w:rPr>
        <w:t>en</w:t>
      </w:r>
      <w:r w:rsidR="00815214" w:rsidRPr="00FC791F">
        <w:rPr>
          <w:rFonts w:ascii="Verdana" w:hAnsi="Verdana"/>
          <w:sz w:val="20"/>
          <w:szCs w:val="20"/>
          <w:lang w:val="fr-FR"/>
        </w:rPr>
        <w:t xml:space="preserve"> ext</w:t>
      </w:r>
      <w:r w:rsidR="00815214" w:rsidRPr="00FC791F">
        <w:rPr>
          <w:rFonts w:ascii="Verdana" w:hAnsi="Verdana"/>
          <w:sz w:val="20"/>
          <w:szCs w:val="20"/>
          <w:lang w:val="fr-FR"/>
        </w:rPr>
        <w:t>é</w:t>
      </w:r>
      <w:r w:rsidR="00815214" w:rsidRPr="00FC791F">
        <w:rPr>
          <w:rFonts w:ascii="Verdana" w:hAnsi="Verdana"/>
          <w:sz w:val="20"/>
          <w:szCs w:val="20"/>
          <w:lang w:val="fr-FR"/>
        </w:rPr>
        <w:t>rieur.</w:t>
      </w:r>
    </w:p>
    <w:p w14:paraId="2AA8074B" w14:textId="08A932BA" w:rsidR="007430D5" w:rsidRDefault="007430D5" w:rsidP="00C03246">
      <w:pPr>
        <w:pStyle w:val="Sansinterligne"/>
        <w:spacing w:line="20" w:lineRule="atLeast"/>
        <w:jc w:val="both"/>
        <w:rPr>
          <w:rFonts w:ascii="Verdana" w:hAnsi="Verdana"/>
          <w:sz w:val="20"/>
          <w:szCs w:val="20"/>
          <w:lang w:val="fr-FR"/>
        </w:rPr>
      </w:pPr>
    </w:p>
    <w:p w14:paraId="5E0BCB6E" w14:textId="77777777" w:rsidR="000D2EC0" w:rsidRPr="00FC791F" w:rsidRDefault="000D2EC0" w:rsidP="00C03246">
      <w:pPr>
        <w:pStyle w:val="Sansinterligne"/>
        <w:spacing w:line="20" w:lineRule="atLeast"/>
        <w:jc w:val="both"/>
        <w:rPr>
          <w:rFonts w:ascii="Verdana" w:hAnsi="Verdana"/>
          <w:sz w:val="20"/>
          <w:szCs w:val="20"/>
          <w:lang w:val="fr-FR"/>
        </w:rPr>
      </w:pPr>
    </w:p>
    <w:p w14:paraId="60859EB3" w14:textId="62B4F6A3" w:rsidR="0083506F" w:rsidRPr="00FC791F" w:rsidRDefault="00A24659" w:rsidP="00C03246">
      <w:pPr>
        <w:spacing w:after="0" w:line="20" w:lineRule="atLeast"/>
        <w:jc w:val="both"/>
        <w:rPr>
          <w:rFonts w:ascii="Verdana" w:hAnsi="Verdana"/>
          <w:b/>
          <w:bCs/>
          <w:sz w:val="20"/>
          <w:szCs w:val="20"/>
          <w:u w:val="single"/>
          <w:lang w:val="fr-FR"/>
        </w:rPr>
      </w:pPr>
      <w:r w:rsidRPr="00FC791F">
        <w:rPr>
          <w:rFonts w:ascii="Verdana" w:hAnsi="Verdana"/>
          <w:b/>
          <w:bCs/>
          <w:sz w:val="20"/>
          <w:szCs w:val="20"/>
          <w:u w:val="single"/>
          <w:lang w:val="fr-FR"/>
        </w:rPr>
        <w:t xml:space="preserve">V. </w:t>
      </w:r>
      <w:r w:rsidRPr="003C269E">
        <w:rPr>
          <w:rFonts w:ascii="Verdana" w:hAnsi="Verdana"/>
          <w:b/>
          <w:bCs/>
          <w:color w:val="00B0F0"/>
          <w:sz w:val="20"/>
          <w:szCs w:val="20"/>
          <w:u w:val="single"/>
          <w:lang w:val="fr-FR"/>
        </w:rPr>
        <w:t xml:space="preserve">SUBORDINATION </w:t>
      </w:r>
      <w:r w:rsidRPr="00FC791F">
        <w:rPr>
          <w:rFonts w:ascii="Verdana" w:hAnsi="Verdana"/>
          <w:b/>
          <w:bCs/>
          <w:sz w:val="20"/>
          <w:szCs w:val="20"/>
          <w:u w:val="single"/>
          <w:lang w:val="fr-FR"/>
        </w:rPr>
        <w:t xml:space="preserve">: VIOLATION DE L'ARTICLE 13 </w:t>
      </w:r>
      <w:r w:rsidR="003C269E">
        <w:rPr>
          <w:rFonts w:ascii="Verdana" w:hAnsi="Verdana"/>
          <w:b/>
          <w:bCs/>
          <w:sz w:val="20"/>
          <w:szCs w:val="20"/>
          <w:u w:val="single"/>
          <w:lang w:val="fr-FR"/>
        </w:rPr>
        <w:t>CEDH</w:t>
      </w:r>
    </w:p>
    <w:p w14:paraId="5461424D" w14:textId="77777777" w:rsidR="000D2EC0" w:rsidRDefault="000D2EC0" w:rsidP="00C03246">
      <w:pPr>
        <w:pStyle w:val="Sansinterligne"/>
        <w:spacing w:line="20" w:lineRule="atLeast"/>
        <w:jc w:val="both"/>
        <w:rPr>
          <w:rFonts w:ascii="Verdana" w:hAnsi="Verdana"/>
          <w:sz w:val="20"/>
          <w:szCs w:val="20"/>
          <w:lang w:val="fr-FR"/>
        </w:rPr>
      </w:pPr>
    </w:p>
    <w:p w14:paraId="327E09CC" w14:textId="05882E34" w:rsidR="00A24659" w:rsidRPr="00FC791F" w:rsidRDefault="003B0994"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27</w:t>
      </w:r>
      <w:r w:rsidR="00A24659" w:rsidRPr="00FC791F">
        <w:rPr>
          <w:rFonts w:ascii="Verdana" w:hAnsi="Verdana"/>
          <w:sz w:val="20"/>
          <w:szCs w:val="20"/>
          <w:lang w:val="fr-FR"/>
        </w:rPr>
        <w:t>.</w:t>
      </w:r>
    </w:p>
    <w:p w14:paraId="2ED44E43" w14:textId="3741725A" w:rsidR="008618EB" w:rsidRPr="00FC791F" w:rsidRDefault="0083506F" w:rsidP="00C03246">
      <w:pPr>
        <w:pStyle w:val="Sansinterligne"/>
        <w:spacing w:line="20" w:lineRule="atLeast"/>
        <w:jc w:val="both"/>
        <w:rPr>
          <w:rFonts w:ascii="Verdana" w:hAnsi="Verdana"/>
          <w:sz w:val="20"/>
          <w:szCs w:val="20"/>
          <w:lang w:val="fr-FR"/>
        </w:rPr>
      </w:pPr>
      <w:r w:rsidRPr="00FC791F">
        <w:rPr>
          <w:rFonts w:ascii="Verdana" w:hAnsi="Verdana"/>
          <w:sz w:val="20"/>
          <w:szCs w:val="20"/>
          <w:lang w:val="fr-FR"/>
        </w:rPr>
        <w:t>S'il devait être considéré qu'il n'est pas possible en droit belge d'ordonner aux défe</w:t>
      </w:r>
      <w:r w:rsidRPr="00FC791F">
        <w:rPr>
          <w:rFonts w:ascii="Verdana" w:hAnsi="Verdana"/>
          <w:sz w:val="20"/>
          <w:szCs w:val="20"/>
          <w:lang w:val="fr-FR"/>
        </w:rPr>
        <w:t>n</w:t>
      </w:r>
      <w:r w:rsidRPr="00FC791F">
        <w:rPr>
          <w:rFonts w:ascii="Verdana" w:hAnsi="Verdana"/>
          <w:sz w:val="20"/>
          <w:szCs w:val="20"/>
          <w:lang w:val="fr-FR"/>
        </w:rPr>
        <w:t>deurs de réduire la norme d</w:t>
      </w:r>
      <w:r w:rsidR="003C269E">
        <w:rPr>
          <w:rFonts w:ascii="Verdana" w:hAnsi="Verdana"/>
          <w:sz w:val="20"/>
          <w:szCs w:val="20"/>
          <w:lang w:val="fr-FR"/>
        </w:rPr>
        <w:t>’émissions des</w:t>
      </w:r>
      <w:r w:rsidRPr="00FC791F">
        <w:rPr>
          <w:rFonts w:ascii="Verdana" w:hAnsi="Verdana"/>
          <w:sz w:val="20"/>
          <w:szCs w:val="20"/>
          <w:lang w:val="fr-FR"/>
        </w:rPr>
        <w:t xml:space="preserve"> radiation</w:t>
      </w:r>
      <w:r w:rsidR="003C269E">
        <w:rPr>
          <w:rFonts w:ascii="Verdana" w:hAnsi="Verdana"/>
          <w:sz w:val="20"/>
          <w:szCs w:val="20"/>
          <w:lang w:val="fr-FR"/>
        </w:rPr>
        <w:t>s</w:t>
      </w:r>
      <w:r w:rsidRPr="00FC791F">
        <w:rPr>
          <w:rFonts w:ascii="Verdana" w:hAnsi="Verdana"/>
          <w:sz w:val="20"/>
          <w:szCs w:val="20"/>
          <w:lang w:val="fr-FR"/>
        </w:rPr>
        <w:t>, il faudrait conclure qu'ils ne disp</w:t>
      </w:r>
      <w:r w:rsidRPr="00FC791F">
        <w:rPr>
          <w:rFonts w:ascii="Verdana" w:hAnsi="Verdana"/>
          <w:sz w:val="20"/>
          <w:szCs w:val="20"/>
          <w:lang w:val="fr-FR"/>
        </w:rPr>
        <w:t>o</w:t>
      </w:r>
      <w:r w:rsidRPr="00FC791F">
        <w:rPr>
          <w:rFonts w:ascii="Verdana" w:hAnsi="Verdana"/>
          <w:sz w:val="20"/>
          <w:szCs w:val="20"/>
          <w:lang w:val="fr-FR"/>
        </w:rPr>
        <w:t>sent d'</w:t>
      </w:r>
      <w:r w:rsidR="003C269E">
        <w:rPr>
          <w:rFonts w:ascii="Verdana" w:hAnsi="Verdana"/>
          <w:sz w:val="20"/>
          <w:szCs w:val="20"/>
          <w:lang w:val="fr-FR"/>
        </w:rPr>
        <w:t>auc</w:t>
      </w:r>
      <w:r w:rsidRPr="00FC791F">
        <w:rPr>
          <w:rFonts w:ascii="Verdana" w:hAnsi="Verdana"/>
          <w:sz w:val="20"/>
          <w:szCs w:val="20"/>
          <w:lang w:val="fr-FR"/>
        </w:rPr>
        <w:t>un recours juridique effectif pour contrer la violation de leurs droits sur la base des articles 2 et 8 de la CEDH. Cela constitue en soi une violation de l'article 13 de la CEDH, qui a également un effet direct dans l'ordre juridique belge. La seule façon de mettre fin à cette violation est d'imposer aux défendeurs l'ordre d'adapter les normes d</w:t>
      </w:r>
      <w:r w:rsidR="003C269E">
        <w:rPr>
          <w:rFonts w:ascii="Verdana" w:hAnsi="Verdana"/>
          <w:sz w:val="20"/>
          <w:szCs w:val="20"/>
          <w:lang w:val="fr-FR"/>
        </w:rPr>
        <w:t>’émissions des</w:t>
      </w:r>
      <w:r w:rsidRPr="00FC791F">
        <w:rPr>
          <w:rFonts w:ascii="Verdana" w:hAnsi="Verdana"/>
          <w:sz w:val="20"/>
          <w:szCs w:val="20"/>
          <w:lang w:val="fr-FR"/>
        </w:rPr>
        <w:t xml:space="preserve"> radiation</w:t>
      </w:r>
      <w:r w:rsidR="003C269E">
        <w:rPr>
          <w:rFonts w:ascii="Verdana" w:hAnsi="Verdana"/>
          <w:sz w:val="20"/>
          <w:szCs w:val="20"/>
          <w:lang w:val="fr-FR"/>
        </w:rPr>
        <w:t>s</w:t>
      </w:r>
      <w:r w:rsidRPr="00FC791F">
        <w:rPr>
          <w:rFonts w:ascii="Verdana" w:hAnsi="Verdana"/>
          <w:sz w:val="20"/>
          <w:szCs w:val="20"/>
          <w:lang w:val="fr-FR"/>
        </w:rPr>
        <w:t>.</w:t>
      </w:r>
    </w:p>
    <w:p w14:paraId="04ADDB01" w14:textId="4A91B05B"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52277D15" w14:textId="77777777" w:rsidR="00C6383B" w:rsidRPr="00FC791F" w:rsidRDefault="00C6383B"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467F5A5B" w14:textId="285CC31A" w:rsidR="0083506F" w:rsidRPr="00FC791F" w:rsidRDefault="00A24659"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b/>
          <w:bCs/>
          <w:spacing w:val="-3"/>
          <w:sz w:val="20"/>
          <w:szCs w:val="20"/>
          <w:u w:val="single"/>
          <w:lang w:val="fr-FR" w:eastAsia="nl-BE"/>
        </w:rPr>
      </w:pPr>
      <w:r w:rsidRPr="00FC791F">
        <w:rPr>
          <w:rFonts w:ascii="Verdana" w:eastAsia="Times New Roman" w:hAnsi="Verdana" w:cs="Garamond"/>
          <w:b/>
          <w:bCs/>
          <w:spacing w:val="-3"/>
          <w:sz w:val="20"/>
          <w:szCs w:val="20"/>
          <w:u w:val="single"/>
          <w:lang w:val="fr-FR" w:eastAsia="nl-BE"/>
        </w:rPr>
        <w:t xml:space="preserve">VI. </w:t>
      </w:r>
      <w:r w:rsidR="003C269E" w:rsidRPr="003C269E">
        <w:rPr>
          <w:rFonts w:ascii="Verdana" w:eastAsia="Times New Roman" w:hAnsi="Verdana" w:cs="Garamond"/>
          <w:b/>
          <w:bCs/>
          <w:color w:val="00B0F0"/>
          <w:spacing w:val="-3"/>
          <w:sz w:val="20"/>
          <w:szCs w:val="20"/>
          <w:u w:val="single"/>
          <w:lang w:val="fr-FR" w:eastAsia="nl-BE"/>
        </w:rPr>
        <w:t>COMPETENCE ET POUVOIR JUDICIAIRE</w:t>
      </w:r>
    </w:p>
    <w:p w14:paraId="65A9361D" w14:textId="77777777" w:rsidR="0083506F" w:rsidRPr="00FC791F" w:rsidRDefault="0083506F"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1CB763D2" w14:textId="4AF2DAD5" w:rsidR="00687498" w:rsidRPr="00FC791F" w:rsidRDefault="003B0994"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FC791F">
        <w:rPr>
          <w:rFonts w:ascii="Verdana" w:eastAsia="Times New Roman" w:hAnsi="Verdana" w:cs="Garamond"/>
          <w:spacing w:val="-3"/>
          <w:sz w:val="20"/>
          <w:szCs w:val="20"/>
          <w:lang w:val="fr-FR" w:eastAsia="nl-BE"/>
        </w:rPr>
        <w:t>28</w:t>
      </w:r>
      <w:r w:rsidR="00687498" w:rsidRPr="00FC791F">
        <w:rPr>
          <w:rFonts w:ascii="Verdana" w:eastAsia="Times New Roman" w:hAnsi="Verdana" w:cs="Garamond"/>
          <w:spacing w:val="-3"/>
          <w:sz w:val="20"/>
          <w:szCs w:val="20"/>
          <w:lang w:val="fr-FR" w:eastAsia="nl-BE"/>
        </w:rPr>
        <w:t>.</w:t>
      </w:r>
    </w:p>
    <w:p w14:paraId="786F5270" w14:textId="01C855A0" w:rsidR="0083506F" w:rsidRPr="00FC791F" w:rsidRDefault="0083506F"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FC791F">
        <w:rPr>
          <w:rFonts w:ascii="Verdana" w:eastAsia="Times New Roman" w:hAnsi="Verdana" w:cs="Garamond"/>
          <w:spacing w:val="-3"/>
          <w:sz w:val="20"/>
          <w:szCs w:val="20"/>
          <w:lang w:val="fr-FR" w:eastAsia="nl-BE"/>
        </w:rPr>
        <w:t xml:space="preserve">Les requérants font appel au pouvoir judiciaire qui est le troisième pouvoir dans un État de droit. Il ressort clairement de la Constitution que l'idée de la répartition des pouvoirs entre les différents pouvoirs revêt une grande importance. En vertu de la section 144 de la </w:t>
      </w:r>
      <w:r w:rsidRPr="003C269E">
        <w:rPr>
          <w:rFonts w:ascii="Verdana" w:eastAsia="Times New Roman" w:hAnsi="Verdana" w:cs="Garamond"/>
          <w:color w:val="00B0F0"/>
          <w:spacing w:val="-3"/>
          <w:sz w:val="20"/>
          <w:szCs w:val="20"/>
          <w:lang w:val="fr-FR" w:eastAsia="nl-BE"/>
        </w:rPr>
        <w:t>GW</w:t>
      </w:r>
      <w:r w:rsidRPr="00FC791F">
        <w:rPr>
          <w:rFonts w:ascii="Verdana" w:eastAsia="Times New Roman" w:hAnsi="Verdana" w:cs="Garamond"/>
          <w:spacing w:val="-3"/>
          <w:sz w:val="20"/>
          <w:szCs w:val="20"/>
          <w:lang w:val="fr-FR" w:eastAsia="nl-BE"/>
        </w:rPr>
        <w:t xml:space="preserve">, les litiges </w:t>
      </w:r>
      <w:r w:rsidR="003C269E">
        <w:rPr>
          <w:rFonts w:ascii="Verdana" w:eastAsia="Times New Roman" w:hAnsi="Verdana" w:cs="Garamond"/>
          <w:spacing w:val="-3"/>
          <w:sz w:val="20"/>
          <w:szCs w:val="20"/>
          <w:lang w:val="fr-FR" w:eastAsia="nl-BE"/>
        </w:rPr>
        <w:t>relatifs aux</w:t>
      </w:r>
      <w:r w:rsidRPr="00FC791F">
        <w:rPr>
          <w:rFonts w:ascii="Verdana" w:eastAsia="Times New Roman" w:hAnsi="Verdana" w:cs="Garamond"/>
          <w:spacing w:val="-3"/>
          <w:sz w:val="20"/>
          <w:szCs w:val="20"/>
          <w:lang w:val="fr-FR" w:eastAsia="nl-BE"/>
        </w:rPr>
        <w:t xml:space="preserve"> droits subjectifs ("droits civils") </w:t>
      </w:r>
      <w:r w:rsidR="003C269E">
        <w:rPr>
          <w:rFonts w:ascii="Verdana" w:eastAsia="Times New Roman" w:hAnsi="Verdana" w:cs="Garamond"/>
          <w:spacing w:val="-3"/>
          <w:sz w:val="20"/>
          <w:szCs w:val="20"/>
          <w:lang w:val="fr-FR" w:eastAsia="nl-BE"/>
        </w:rPr>
        <w:t>ont été</w:t>
      </w:r>
      <w:r w:rsidRPr="00FC791F">
        <w:rPr>
          <w:rFonts w:ascii="Verdana" w:eastAsia="Times New Roman" w:hAnsi="Verdana" w:cs="Garamond"/>
          <w:spacing w:val="-3"/>
          <w:sz w:val="20"/>
          <w:szCs w:val="20"/>
          <w:lang w:val="fr-FR" w:eastAsia="nl-BE"/>
        </w:rPr>
        <w:t xml:space="preserve"> exclusivement confiés au po</w:t>
      </w:r>
      <w:r w:rsidRPr="00FC791F">
        <w:rPr>
          <w:rFonts w:ascii="Verdana" w:eastAsia="Times New Roman" w:hAnsi="Verdana" w:cs="Garamond"/>
          <w:spacing w:val="-3"/>
          <w:sz w:val="20"/>
          <w:szCs w:val="20"/>
          <w:lang w:val="fr-FR" w:eastAsia="nl-BE"/>
        </w:rPr>
        <w:t>u</w:t>
      </w:r>
      <w:r w:rsidRPr="00FC791F">
        <w:rPr>
          <w:rFonts w:ascii="Verdana" w:eastAsia="Times New Roman" w:hAnsi="Verdana" w:cs="Garamond"/>
          <w:spacing w:val="-3"/>
          <w:sz w:val="20"/>
          <w:szCs w:val="20"/>
          <w:lang w:val="fr-FR" w:eastAsia="nl-BE"/>
        </w:rPr>
        <w:t>voir judiciaire.</w:t>
      </w:r>
    </w:p>
    <w:p w14:paraId="4CE72F0E" w14:textId="77777777" w:rsidR="0083506F" w:rsidRPr="00FC791F" w:rsidRDefault="0083506F"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427D3A71" w14:textId="61BA8E05"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FC791F">
        <w:rPr>
          <w:rFonts w:ascii="Verdana" w:eastAsia="Times New Roman" w:hAnsi="Verdana" w:cs="Garamond"/>
          <w:spacing w:val="-3"/>
          <w:sz w:val="20"/>
          <w:szCs w:val="20"/>
          <w:lang w:val="fr-FR" w:eastAsia="nl-BE"/>
        </w:rPr>
        <w:t>Que le tribunal a une compétence territoriale selon l'art. 624, 1° Ger. W.</w:t>
      </w:r>
    </w:p>
    <w:p w14:paraId="1FA7C5EC" w14:textId="02D483B7" w:rsidR="00687498" w:rsidRPr="00FC791F" w:rsidRDefault="00687498" w:rsidP="00C03246">
      <w:pPr>
        <w:spacing w:after="0" w:line="20" w:lineRule="atLeast"/>
        <w:jc w:val="both"/>
        <w:rPr>
          <w:rFonts w:ascii="Verdana" w:hAnsi="Verdana"/>
          <w:sz w:val="20"/>
          <w:szCs w:val="20"/>
          <w:lang w:val="fr-FR"/>
        </w:rPr>
      </w:pPr>
    </w:p>
    <w:p w14:paraId="2DCDBF93" w14:textId="77777777" w:rsidR="00A24659" w:rsidRPr="00FC791F" w:rsidRDefault="00A24659" w:rsidP="00C03246">
      <w:pPr>
        <w:spacing w:after="0" w:line="20" w:lineRule="atLeast"/>
        <w:jc w:val="both"/>
        <w:rPr>
          <w:rFonts w:ascii="Verdana" w:hAnsi="Verdana"/>
          <w:sz w:val="20"/>
          <w:szCs w:val="20"/>
          <w:lang w:val="fr-FR"/>
        </w:rPr>
      </w:pPr>
    </w:p>
    <w:bookmarkEnd w:id="0"/>
    <w:bookmarkEnd w:id="1"/>
    <w:bookmarkEnd w:id="2"/>
    <w:bookmarkEnd w:id="3"/>
    <w:bookmarkEnd w:id="4"/>
    <w:bookmarkEnd w:id="5"/>
    <w:bookmarkEnd w:id="6"/>
    <w:bookmarkEnd w:id="7"/>
    <w:bookmarkEnd w:id="8"/>
    <w:bookmarkEnd w:id="9"/>
    <w:bookmarkEnd w:id="10"/>
    <w:p w14:paraId="4215BBFB"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b/>
          <w:bCs/>
          <w:sz w:val="20"/>
          <w:szCs w:val="20"/>
          <w:lang w:val="fr-FR" w:eastAsia="nl-BE"/>
        </w:rPr>
      </w:pPr>
      <w:r w:rsidRPr="00FC791F">
        <w:rPr>
          <w:rFonts w:ascii="Verdana" w:eastAsia="Times New Roman" w:hAnsi="Verdana" w:cs="Garamond"/>
          <w:b/>
          <w:bCs/>
          <w:sz w:val="20"/>
          <w:szCs w:val="20"/>
          <w:lang w:val="fr-FR" w:eastAsia="nl-BE"/>
        </w:rPr>
        <w:t>POUR CES RAISONS,</w:t>
      </w:r>
    </w:p>
    <w:p w14:paraId="56D95949"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6B431BD6"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088FC42D" w14:textId="4E7BD940"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sidRPr="00FC791F">
        <w:rPr>
          <w:rFonts w:ascii="Verdana" w:eastAsia="Times New Roman" w:hAnsi="Verdana" w:cs="Garamond"/>
          <w:sz w:val="20"/>
          <w:szCs w:val="20"/>
          <w:lang w:val="fr-FR" w:eastAsia="nl-BE"/>
        </w:rPr>
        <w:t xml:space="preserve">sous toutes réserves et sans aucune reconnaissance </w:t>
      </w:r>
      <w:r w:rsidR="009F5F5A">
        <w:rPr>
          <w:rFonts w:ascii="Verdana" w:eastAsia="Times New Roman" w:hAnsi="Verdana" w:cs="Garamond"/>
          <w:sz w:val="20"/>
          <w:szCs w:val="20"/>
          <w:lang w:val="fr-FR" w:eastAsia="nl-BE"/>
        </w:rPr>
        <w:t xml:space="preserve">préjudiciable </w:t>
      </w:r>
      <w:r w:rsidRPr="00FC791F">
        <w:rPr>
          <w:rFonts w:ascii="Verdana" w:eastAsia="Times New Roman" w:hAnsi="Verdana" w:cs="Garamond"/>
          <w:sz w:val="20"/>
          <w:szCs w:val="20"/>
          <w:lang w:val="fr-FR" w:eastAsia="nl-BE"/>
        </w:rPr>
        <w:t xml:space="preserve">et </w:t>
      </w:r>
      <w:r w:rsidR="009F5F5A">
        <w:rPr>
          <w:rFonts w:ascii="Verdana" w:eastAsia="Times New Roman" w:hAnsi="Verdana" w:cs="Garamond"/>
          <w:sz w:val="20"/>
          <w:szCs w:val="20"/>
          <w:lang w:val="fr-FR" w:eastAsia="nl-BE"/>
        </w:rPr>
        <w:t xml:space="preserve">en </w:t>
      </w:r>
      <w:r w:rsidRPr="00FC791F">
        <w:rPr>
          <w:rFonts w:ascii="Verdana" w:eastAsia="Times New Roman" w:hAnsi="Verdana" w:cs="Garamond"/>
          <w:sz w:val="20"/>
          <w:szCs w:val="20"/>
          <w:lang w:val="fr-FR" w:eastAsia="nl-BE"/>
        </w:rPr>
        <w:t>contesta</w:t>
      </w:r>
      <w:r w:rsidR="009F5F5A">
        <w:rPr>
          <w:rFonts w:ascii="Verdana" w:eastAsia="Times New Roman" w:hAnsi="Verdana" w:cs="Garamond"/>
          <w:sz w:val="20"/>
          <w:szCs w:val="20"/>
          <w:lang w:val="fr-FR" w:eastAsia="nl-BE"/>
        </w:rPr>
        <w:t>n</w:t>
      </w:r>
      <w:r w:rsidRPr="00FC791F">
        <w:rPr>
          <w:rFonts w:ascii="Verdana" w:eastAsia="Times New Roman" w:hAnsi="Verdana" w:cs="Garamond"/>
          <w:sz w:val="20"/>
          <w:szCs w:val="20"/>
          <w:lang w:val="fr-FR" w:eastAsia="nl-BE"/>
        </w:rPr>
        <w:t>t tout fait non expressément reconnu,</w:t>
      </w:r>
    </w:p>
    <w:p w14:paraId="0E65A753" w14:textId="4D2085C5"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6E998D8A" w14:textId="5669CF37" w:rsidR="002B43C6" w:rsidRPr="00FC791F" w:rsidRDefault="009F5F5A"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Pr>
          <w:rFonts w:ascii="Verdana" w:eastAsia="Times New Roman" w:hAnsi="Verdana" w:cs="Garamond"/>
          <w:sz w:val="20"/>
          <w:szCs w:val="20"/>
          <w:lang w:val="fr-FR" w:eastAsia="nl-BE"/>
        </w:rPr>
        <w:t>Poser la q</w:t>
      </w:r>
      <w:r w:rsidR="002B43C6" w:rsidRPr="00FC791F">
        <w:rPr>
          <w:rFonts w:ascii="Verdana" w:eastAsia="Times New Roman" w:hAnsi="Verdana" w:cs="Garamond"/>
          <w:sz w:val="20"/>
          <w:szCs w:val="20"/>
          <w:lang w:val="fr-FR" w:eastAsia="nl-BE"/>
        </w:rPr>
        <w:t>uestion suivante à la Cour constitutionnelle :</w:t>
      </w:r>
    </w:p>
    <w:p w14:paraId="73B8B5B9" w14:textId="531517FE" w:rsidR="002B43C6" w:rsidRPr="00FC791F" w:rsidRDefault="002B43C6" w:rsidP="000D2EC0">
      <w:pPr>
        <w:autoSpaceDE w:val="0"/>
        <w:autoSpaceDN w:val="0"/>
        <w:adjustRightInd w:val="0"/>
        <w:spacing w:after="0" w:line="20" w:lineRule="atLeast"/>
        <w:ind w:left="708"/>
        <w:jc w:val="both"/>
        <w:rPr>
          <w:rFonts w:ascii="Verdana" w:eastAsia="Times New Roman" w:hAnsi="Verdana" w:cs="Garamond"/>
          <w:sz w:val="20"/>
          <w:szCs w:val="20"/>
          <w:lang w:val="fr-FR" w:eastAsia="nl-BE"/>
        </w:rPr>
      </w:pPr>
      <w:r w:rsidRPr="00FC791F">
        <w:rPr>
          <w:rFonts w:ascii="Verdana" w:eastAsia="Times New Roman" w:hAnsi="Verdana" w:cs="Garamond"/>
          <w:sz w:val="20"/>
          <w:szCs w:val="20"/>
          <w:lang w:val="fr-FR" w:eastAsia="nl-BE"/>
        </w:rPr>
        <w:t xml:space="preserve">L'article 6 de la loi du 18 décembre 2015 portant dispositions </w:t>
      </w:r>
      <w:r w:rsidR="009F5F5A" w:rsidRPr="00FC791F">
        <w:rPr>
          <w:rFonts w:ascii="Verdana" w:eastAsia="Times New Roman" w:hAnsi="Verdana" w:cs="Garamond"/>
          <w:sz w:val="20"/>
          <w:szCs w:val="20"/>
          <w:lang w:val="fr-FR" w:eastAsia="nl-BE"/>
        </w:rPr>
        <w:t xml:space="preserve">diverses </w:t>
      </w:r>
      <w:r w:rsidRPr="00FC791F">
        <w:rPr>
          <w:rFonts w:ascii="Verdana" w:eastAsia="Times New Roman" w:hAnsi="Verdana" w:cs="Garamond"/>
          <w:sz w:val="20"/>
          <w:szCs w:val="20"/>
          <w:lang w:val="fr-FR" w:eastAsia="nl-BE"/>
        </w:rPr>
        <w:t>en matière de communications électroniques (</w:t>
      </w:r>
      <w:r w:rsidR="009F5F5A" w:rsidRPr="009F5F5A">
        <w:rPr>
          <w:rFonts w:ascii="Verdana" w:eastAsia="Times New Roman" w:hAnsi="Verdana" w:cs="Garamond"/>
          <w:sz w:val="20"/>
          <w:szCs w:val="20"/>
          <w:lang w:val="fr-FR" w:eastAsia="nl-BE"/>
        </w:rPr>
        <w:t>MB</w:t>
      </w:r>
      <w:r w:rsidRPr="009F5F5A">
        <w:rPr>
          <w:rFonts w:ascii="Verdana" w:eastAsia="Times New Roman" w:hAnsi="Verdana" w:cs="Garamond"/>
          <w:sz w:val="20"/>
          <w:szCs w:val="20"/>
          <w:lang w:val="fr-FR" w:eastAsia="nl-BE"/>
        </w:rPr>
        <w:t xml:space="preserve"> du </w:t>
      </w:r>
      <w:r w:rsidRPr="00FC791F">
        <w:rPr>
          <w:rFonts w:ascii="Verdana" w:eastAsia="Times New Roman" w:hAnsi="Verdana" w:cs="Garamond"/>
          <w:sz w:val="20"/>
          <w:szCs w:val="20"/>
          <w:lang w:val="fr-FR" w:eastAsia="nl-BE"/>
        </w:rPr>
        <w:t>15 janvier 2016) porte-t-il atteinte au principe de standstill consacré par l'article 23 de la Constitution en ce sens que le niveau de protection offert par la législation applicable en matière de rayonn</w:t>
      </w:r>
      <w:r w:rsidRPr="00FC791F">
        <w:rPr>
          <w:rFonts w:ascii="Verdana" w:eastAsia="Times New Roman" w:hAnsi="Verdana" w:cs="Garamond"/>
          <w:sz w:val="20"/>
          <w:szCs w:val="20"/>
          <w:lang w:val="fr-FR" w:eastAsia="nl-BE"/>
        </w:rPr>
        <w:t>e</w:t>
      </w:r>
      <w:r w:rsidRPr="00FC791F">
        <w:rPr>
          <w:rFonts w:ascii="Verdana" w:eastAsia="Times New Roman" w:hAnsi="Verdana" w:cs="Garamond"/>
          <w:sz w:val="20"/>
          <w:szCs w:val="20"/>
          <w:lang w:val="fr-FR" w:eastAsia="nl-BE"/>
        </w:rPr>
        <w:t xml:space="preserve">ments électromagnétiques est sensiblement réduit sans qu'il y ait de raisons d'intérêt général </w:t>
      </w:r>
      <w:r w:rsidR="009F5F5A">
        <w:rPr>
          <w:rFonts w:ascii="Verdana" w:eastAsia="Times New Roman" w:hAnsi="Verdana" w:cs="Garamond"/>
          <w:sz w:val="20"/>
          <w:szCs w:val="20"/>
          <w:lang w:val="fr-FR" w:eastAsia="nl-BE"/>
        </w:rPr>
        <w:t>de</w:t>
      </w:r>
      <w:r w:rsidRPr="00FC791F">
        <w:rPr>
          <w:rFonts w:ascii="Verdana" w:eastAsia="Times New Roman" w:hAnsi="Verdana" w:cs="Garamond"/>
          <w:sz w:val="20"/>
          <w:szCs w:val="20"/>
          <w:lang w:val="fr-FR" w:eastAsia="nl-BE"/>
        </w:rPr>
        <w:t xml:space="preserve"> le faire ?</w:t>
      </w:r>
    </w:p>
    <w:p w14:paraId="473334D8" w14:textId="77777777" w:rsidR="002B43C6" w:rsidRPr="00FC791F" w:rsidRDefault="002B43C6"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7BD0C47A" w14:textId="78AE120B" w:rsidR="00BA508C" w:rsidRPr="00FC791F" w:rsidRDefault="009F5F5A"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Pr>
          <w:rFonts w:ascii="Verdana" w:eastAsia="Times New Roman" w:hAnsi="Verdana" w:cs="Garamond"/>
          <w:sz w:val="20"/>
          <w:szCs w:val="20"/>
          <w:lang w:val="fr-FR" w:eastAsia="nl-BE"/>
        </w:rPr>
        <w:t>De déclarer en outre</w:t>
      </w:r>
      <w:r w:rsidR="002B43C6" w:rsidRPr="00FC791F">
        <w:rPr>
          <w:rFonts w:ascii="Verdana" w:eastAsia="Times New Roman" w:hAnsi="Verdana" w:cs="Garamond"/>
          <w:sz w:val="20"/>
          <w:szCs w:val="20"/>
          <w:lang w:val="fr-FR" w:eastAsia="nl-BE"/>
        </w:rPr>
        <w:t xml:space="preserve"> </w:t>
      </w:r>
      <w:r w:rsidR="00BA508C" w:rsidRPr="00FC791F">
        <w:rPr>
          <w:rFonts w:ascii="Verdana" w:eastAsia="Times New Roman" w:hAnsi="Verdana" w:cs="Garamond"/>
          <w:sz w:val="20"/>
          <w:szCs w:val="20"/>
          <w:lang w:val="fr-FR" w:eastAsia="nl-BE"/>
        </w:rPr>
        <w:t>que la décision du Gouvernement flamand du 19 novembre 2010 modifiant la décision du Gouvernement flamand du 1er juin 1995 con</w:t>
      </w:r>
      <w:r w:rsidR="00E43C66">
        <w:rPr>
          <w:rFonts w:ascii="Verdana" w:eastAsia="Times New Roman" w:hAnsi="Verdana" w:cs="Garamond"/>
          <w:sz w:val="20"/>
          <w:szCs w:val="20"/>
          <w:lang w:val="fr-FR" w:eastAsia="nl-BE"/>
        </w:rPr>
        <w:t>te</w:t>
      </w:r>
      <w:r w:rsidR="00BA508C" w:rsidRPr="00FC791F">
        <w:rPr>
          <w:rFonts w:ascii="Verdana" w:eastAsia="Times New Roman" w:hAnsi="Verdana" w:cs="Garamond"/>
          <w:sz w:val="20"/>
          <w:szCs w:val="20"/>
          <w:lang w:val="fr-FR" w:eastAsia="nl-BE"/>
        </w:rPr>
        <w:t>nant les dispos</w:t>
      </w:r>
      <w:r w:rsidR="00BA508C" w:rsidRPr="00FC791F">
        <w:rPr>
          <w:rFonts w:ascii="Verdana" w:eastAsia="Times New Roman" w:hAnsi="Verdana" w:cs="Garamond"/>
          <w:sz w:val="20"/>
          <w:szCs w:val="20"/>
          <w:lang w:val="fr-FR" w:eastAsia="nl-BE"/>
        </w:rPr>
        <w:t>i</w:t>
      </w:r>
      <w:r w:rsidR="00BA508C" w:rsidRPr="00FC791F">
        <w:rPr>
          <w:rFonts w:ascii="Verdana" w:eastAsia="Times New Roman" w:hAnsi="Verdana" w:cs="Garamond"/>
          <w:sz w:val="20"/>
          <w:szCs w:val="20"/>
          <w:lang w:val="fr-FR" w:eastAsia="nl-BE"/>
        </w:rPr>
        <w:t xml:space="preserve">tions générales et sectorielles en matière de santé environnementale en ce qui concerne la normalisation des antennes émettrices fixes et temporairement installées pour les ondes électromagnétiques </w:t>
      </w:r>
      <w:r w:rsidR="00E43C66">
        <w:rPr>
          <w:rFonts w:ascii="Verdana" w:eastAsia="Times New Roman" w:hAnsi="Verdana" w:cs="Garamond"/>
          <w:sz w:val="20"/>
          <w:szCs w:val="20"/>
          <w:lang w:val="fr-FR" w:eastAsia="nl-BE"/>
        </w:rPr>
        <w:t xml:space="preserve">situées </w:t>
      </w:r>
      <w:r w:rsidR="00BA508C" w:rsidRPr="00FC791F">
        <w:rPr>
          <w:rFonts w:ascii="Verdana" w:eastAsia="Times New Roman" w:hAnsi="Verdana" w:cs="Garamond"/>
          <w:sz w:val="20"/>
          <w:szCs w:val="20"/>
          <w:lang w:val="fr-FR" w:eastAsia="nl-BE"/>
        </w:rPr>
        <w:t>entre 10 MHz et 10 GHz. (</w:t>
      </w:r>
      <w:r w:rsidR="00E43C66" w:rsidRPr="00E43C66">
        <w:rPr>
          <w:rFonts w:ascii="Verdana" w:eastAsia="Times New Roman" w:hAnsi="Verdana" w:cs="Garamond"/>
          <w:sz w:val="20"/>
          <w:szCs w:val="20"/>
          <w:lang w:val="fr-FR" w:eastAsia="nl-BE"/>
        </w:rPr>
        <w:t>MB</w:t>
      </w:r>
      <w:r w:rsidR="00BA508C" w:rsidRPr="00FC791F">
        <w:rPr>
          <w:rFonts w:ascii="Verdana" w:eastAsia="Times New Roman" w:hAnsi="Verdana" w:cs="Garamond"/>
          <w:i/>
          <w:iCs/>
          <w:sz w:val="20"/>
          <w:szCs w:val="20"/>
          <w:lang w:val="fr-FR" w:eastAsia="nl-BE"/>
        </w:rPr>
        <w:t xml:space="preserve"> </w:t>
      </w:r>
      <w:r w:rsidR="00E43C66">
        <w:rPr>
          <w:rFonts w:ascii="Verdana" w:eastAsia="Times New Roman" w:hAnsi="Verdana" w:cs="Garamond"/>
          <w:sz w:val="20"/>
          <w:szCs w:val="20"/>
          <w:lang w:val="fr-FR" w:eastAsia="nl-BE"/>
        </w:rPr>
        <w:t xml:space="preserve">du </w:t>
      </w:r>
      <w:r w:rsidR="00BA508C" w:rsidRPr="00FC791F">
        <w:rPr>
          <w:rFonts w:ascii="Verdana" w:eastAsia="Times New Roman" w:hAnsi="Verdana" w:cs="Garamond"/>
          <w:sz w:val="20"/>
          <w:szCs w:val="20"/>
          <w:lang w:val="fr-FR" w:eastAsia="nl-BE"/>
        </w:rPr>
        <w:t xml:space="preserve">13 janvier 2011) est illégale et doit être </w:t>
      </w:r>
      <w:r w:rsidR="00E43C66">
        <w:rPr>
          <w:rFonts w:ascii="Verdana" w:eastAsia="Times New Roman" w:hAnsi="Verdana" w:cs="Garamond"/>
          <w:sz w:val="20"/>
          <w:szCs w:val="20"/>
          <w:lang w:val="fr-FR" w:eastAsia="nl-BE"/>
        </w:rPr>
        <w:t>ignorée</w:t>
      </w:r>
      <w:r w:rsidR="00BA508C" w:rsidRPr="00FC791F">
        <w:rPr>
          <w:rFonts w:ascii="Verdana" w:eastAsia="Times New Roman" w:hAnsi="Verdana" w:cs="Garamond"/>
          <w:sz w:val="20"/>
          <w:szCs w:val="20"/>
          <w:lang w:val="fr-FR" w:eastAsia="nl-BE"/>
        </w:rPr>
        <w:t>.</w:t>
      </w:r>
    </w:p>
    <w:p w14:paraId="2CE8DC92" w14:textId="77777777" w:rsidR="00BA508C" w:rsidRPr="00FC791F" w:rsidRDefault="00BA508C"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53B4FBBC" w14:textId="065ADFCE" w:rsidR="00A24659" w:rsidRPr="00FC791F" w:rsidRDefault="00BA508C"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sidRPr="00FC791F">
        <w:rPr>
          <w:rFonts w:ascii="Verdana" w:eastAsia="Times New Roman" w:hAnsi="Verdana" w:cs="Garamond"/>
          <w:sz w:val="20"/>
          <w:szCs w:val="20"/>
          <w:lang w:val="fr-FR" w:eastAsia="nl-BE"/>
        </w:rPr>
        <w:t xml:space="preserve">Condamner les défendeurs à </w:t>
      </w:r>
      <w:r w:rsidR="004C24E4" w:rsidRPr="00FC791F">
        <w:rPr>
          <w:rFonts w:ascii="Verdana" w:eastAsia="Times New Roman" w:hAnsi="Verdana" w:cs="Garamond"/>
          <w:sz w:val="20"/>
          <w:szCs w:val="20"/>
          <w:lang w:val="fr-FR" w:eastAsia="nl-BE"/>
        </w:rPr>
        <w:t xml:space="preserve">obtenir l'avis du Conseil supérieur de la santé </w:t>
      </w:r>
      <w:r w:rsidR="00CE7518" w:rsidRPr="00FC791F">
        <w:rPr>
          <w:rFonts w:ascii="Verdana" w:eastAsia="Times New Roman" w:hAnsi="Verdana" w:cs="Garamond"/>
          <w:sz w:val="20"/>
          <w:szCs w:val="20"/>
          <w:lang w:val="fr-FR" w:eastAsia="nl-BE"/>
        </w:rPr>
        <w:t>sur les normes d</w:t>
      </w:r>
      <w:r w:rsidR="00E43C66">
        <w:rPr>
          <w:rFonts w:ascii="Verdana" w:eastAsia="Times New Roman" w:hAnsi="Verdana" w:cs="Garamond"/>
          <w:sz w:val="20"/>
          <w:szCs w:val="20"/>
          <w:lang w:val="fr-FR" w:eastAsia="nl-BE"/>
        </w:rPr>
        <w:t>’émissions des</w:t>
      </w:r>
      <w:r w:rsidR="00CE7518" w:rsidRPr="00FC791F">
        <w:rPr>
          <w:rFonts w:ascii="Verdana" w:eastAsia="Times New Roman" w:hAnsi="Verdana" w:cs="Garamond"/>
          <w:sz w:val="20"/>
          <w:szCs w:val="20"/>
          <w:lang w:val="fr-FR" w:eastAsia="nl-BE"/>
        </w:rPr>
        <w:t xml:space="preserve"> radiation</w:t>
      </w:r>
      <w:r w:rsidR="00E43C66">
        <w:rPr>
          <w:rFonts w:ascii="Verdana" w:eastAsia="Times New Roman" w:hAnsi="Verdana" w:cs="Garamond"/>
          <w:sz w:val="20"/>
          <w:szCs w:val="20"/>
          <w:lang w:val="fr-FR" w:eastAsia="nl-BE"/>
        </w:rPr>
        <w:t>s</w:t>
      </w:r>
      <w:r w:rsidR="00CE7518" w:rsidRPr="00FC791F">
        <w:rPr>
          <w:rFonts w:ascii="Verdana" w:eastAsia="Times New Roman" w:hAnsi="Verdana" w:cs="Garamond"/>
          <w:sz w:val="20"/>
          <w:szCs w:val="20"/>
          <w:lang w:val="fr-FR" w:eastAsia="nl-BE"/>
        </w:rPr>
        <w:t xml:space="preserve"> </w:t>
      </w:r>
      <w:r w:rsidR="00A24659" w:rsidRPr="00FC791F">
        <w:rPr>
          <w:rFonts w:ascii="Verdana" w:eastAsia="Times New Roman" w:hAnsi="Verdana" w:cs="Garamond"/>
          <w:sz w:val="20"/>
          <w:szCs w:val="20"/>
          <w:lang w:val="fr-FR" w:eastAsia="nl-BE"/>
        </w:rPr>
        <w:t xml:space="preserve">et l'exposition aux radiations </w:t>
      </w:r>
      <w:r w:rsidR="004C24E4" w:rsidRPr="00FC791F">
        <w:rPr>
          <w:rFonts w:ascii="Verdana" w:eastAsia="Times New Roman" w:hAnsi="Verdana" w:cs="Garamond"/>
          <w:sz w:val="20"/>
          <w:szCs w:val="20"/>
          <w:lang w:val="fr-FR" w:eastAsia="nl-BE"/>
        </w:rPr>
        <w:t xml:space="preserve">dans un délai d'un mois à compter de la </w:t>
      </w:r>
      <w:r w:rsidR="00A24659" w:rsidRPr="00FC791F">
        <w:rPr>
          <w:rFonts w:ascii="Verdana" w:eastAsia="Times New Roman" w:hAnsi="Verdana" w:cs="Garamond"/>
          <w:sz w:val="20"/>
          <w:szCs w:val="20"/>
          <w:lang w:val="fr-FR" w:eastAsia="nl-BE"/>
        </w:rPr>
        <w:t xml:space="preserve">signification </w:t>
      </w:r>
      <w:r w:rsidR="004C24E4" w:rsidRPr="00FC791F">
        <w:rPr>
          <w:rFonts w:ascii="Verdana" w:eastAsia="Times New Roman" w:hAnsi="Verdana" w:cs="Garamond"/>
          <w:sz w:val="20"/>
          <w:szCs w:val="20"/>
          <w:lang w:val="fr-FR" w:eastAsia="nl-BE"/>
        </w:rPr>
        <w:t xml:space="preserve">du </w:t>
      </w:r>
      <w:r w:rsidR="00CE7518" w:rsidRPr="00FC791F">
        <w:rPr>
          <w:rFonts w:ascii="Verdana" w:eastAsia="Times New Roman" w:hAnsi="Verdana" w:cs="Garamond"/>
          <w:sz w:val="20"/>
          <w:szCs w:val="20"/>
          <w:lang w:val="fr-FR" w:eastAsia="nl-BE"/>
        </w:rPr>
        <w:t>jugement à intervenir</w:t>
      </w:r>
      <w:r w:rsidR="00A24659" w:rsidRPr="00FC791F">
        <w:rPr>
          <w:rFonts w:ascii="Verdana" w:eastAsia="Times New Roman" w:hAnsi="Verdana" w:cs="Garamond"/>
          <w:sz w:val="20"/>
          <w:szCs w:val="20"/>
          <w:lang w:val="fr-FR" w:eastAsia="nl-BE"/>
        </w:rPr>
        <w:t>, faute de quoi les défendeurs s</w:t>
      </w:r>
      <w:r w:rsidR="00A24659" w:rsidRPr="00FC791F">
        <w:rPr>
          <w:rFonts w:ascii="Verdana" w:eastAsia="Times New Roman" w:hAnsi="Verdana" w:cs="Garamond"/>
          <w:sz w:val="20"/>
          <w:szCs w:val="20"/>
          <w:lang w:val="fr-FR" w:eastAsia="nl-BE"/>
        </w:rPr>
        <w:t>e</w:t>
      </w:r>
      <w:r w:rsidR="00A24659" w:rsidRPr="00FC791F">
        <w:rPr>
          <w:rFonts w:ascii="Verdana" w:eastAsia="Times New Roman" w:hAnsi="Verdana" w:cs="Garamond"/>
          <w:sz w:val="20"/>
          <w:szCs w:val="20"/>
          <w:lang w:val="fr-FR" w:eastAsia="nl-BE"/>
        </w:rPr>
        <w:t xml:space="preserve">ront redevables d'une amende de </w:t>
      </w:r>
      <w:r w:rsidR="00537115" w:rsidRPr="00FC791F">
        <w:rPr>
          <w:rFonts w:ascii="Verdana" w:eastAsia="Times New Roman" w:hAnsi="Verdana" w:cs="Garamond"/>
          <w:sz w:val="20"/>
          <w:szCs w:val="20"/>
          <w:lang w:val="fr-FR" w:eastAsia="nl-BE"/>
        </w:rPr>
        <w:t xml:space="preserve">1 </w:t>
      </w:r>
      <w:r w:rsidR="00A24659" w:rsidRPr="00FC791F">
        <w:rPr>
          <w:rFonts w:ascii="Verdana" w:eastAsia="Times New Roman" w:hAnsi="Verdana" w:cs="Garamond"/>
          <w:sz w:val="20"/>
          <w:szCs w:val="20"/>
          <w:lang w:val="fr-FR" w:eastAsia="nl-BE"/>
        </w:rPr>
        <w:t>000 €/jour avec un maximum de 500 000,00 €.</w:t>
      </w:r>
    </w:p>
    <w:p w14:paraId="4F33E7F8" w14:textId="77777777" w:rsidR="00A24659" w:rsidRPr="00FC791F" w:rsidRDefault="00A24659"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71EA41C9" w14:textId="136A3847" w:rsidR="00BA508C" w:rsidRPr="00FC791F" w:rsidRDefault="00CE7518"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sidRPr="00FC791F">
        <w:rPr>
          <w:rFonts w:ascii="Verdana" w:eastAsia="Times New Roman" w:hAnsi="Verdana" w:cs="Garamond"/>
          <w:sz w:val="20"/>
          <w:szCs w:val="20"/>
          <w:lang w:val="fr-FR" w:eastAsia="nl-BE"/>
        </w:rPr>
        <w:t xml:space="preserve">Ensuite, </w:t>
      </w:r>
      <w:r w:rsidR="00A24659" w:rsidRPr="00FC791F">
        <w:rPr>
          <w:rFonts w:ascii="Verdana" w:eastAsia="Times New Roman" w:hAnsi="Verdana" w:cs="Garamond"/>
          <w:sz w:val="20"/>
          <w:szCs w:val="20"/>
          <w:lang w:val="fr-FR" w:eastAsia="nl-BE"/>
        </w:rPr>
        <w:t xml:space="preserve">ordonner aux défendeurs </w:t>
      </w:r>
      <w:r w:rsidR="00BA508C" w:rsidRPr="00FC791F">
        <w:rPr>
          <w:rFonts w:ascii="Verdana" w:eastAsia="Times New Roman" w:hAnsi="Verdana" w:cs="Garamond"/>
          <w:sz w:val="20"/>
          <w:szCs w:val="20"/>
          <w:lang w:val="fr-FR" w:eastAsia="nl-BE"/>
        </w:rPr>
        <w:t>d'appliquer une norm</w:t>
      </w:r>
      <w:r w:rsidR="00E43C66">
        <w:rPr>
          <w:rFonts w:ascii="Verdana" w:eastAsia="Times New Roman" w:hAnsi="Verdana" w:cs="Garamond"/>
          <w:sz w:val="20"/>
          <w:szCs w:val="20"/>
          <w:lang w:val="fr-FR" w:eastAsia="nl-BE"/>
        </w:rPr>
        <w:t>e</w:t>
      </w:r>
      <w:r w:rsidR="00BA508C" w:rsidRPr="00FC791F">
        <w:rPr>
          <w:rFonts w:ascii="Verdana" w:eastAsia="Times New Roman" w:hAnsi="Verdana" w:cs="Garamond"/>
          <w:sz w:val="20"/>
          <w:szCs w:val="20"/>
          <w:lang w:val="fr-FR" w:eastAsia="nl-BE"/>
        </w:rPr>
        <w:t xml:space="preserve"> d</w:t>
      </w:r>
      <w:r w:rsidR="00E43C66">
        <w:rPr>
          <w:rFonts w:ascii="Verdana" w:eastAsia="Times New Roman" w:hAnsi="Verdana" w:cs="Garamond"/>
          <w:sz w:val="20"/>
          <w:szCs w:val="20"/>
          <w:lang w:val="fr-FR" w:eastAsia="nl-BE"/>
        </w:rPr>
        <w:t>’émissions des</w:t>
      </w:r>
      <w:r w:rsidR="00BA508C" w:rsidRPr="00FC791F">
        <w:rPr>
          <w:rFonts w:ascii="Verdana" w:eastAsia="Times New Roman" w:hAnsi="Verdana" w:cs="Garamond"/>
          <w:sz w:val="20"/>
          <w:szCs w:val="20"/>
          <w:lang w:val="fr-FR" w:eastAsia="nl-BE"/>
        </w:rPr>
        <w:t xml:space="preserve"> radiation</w:t>
      </w:r>
      <w:r w:rsidR="00E43C66">
        <w:rPr>
          <w:rFonts w:ascii="Verdana" w:eastAsia="Times New Roman" w:hAnsi="Verdana" w:cs="Garamond"/>
          <w:sz w:val="20"/>
          <w:szCs w:val="20"/>
          <w:lang w:val="fr-FR" w:eastAsia="nl-BE"/>
        </w:rPr>
        <w:t>s</w:t>
      </w:r>
      <w:r w:rsidR="00BA508C" w:rsidRPr="00FC791F">
        <w:rPr>
          <w:rFonts w:ascii="Verdana" w:eastAsia="Times New Roman" w:hAnsi="Verdana" w:cs="Garamond"/>
          <w:sz w:val="20"/>
          <w:szCs w:val="20"/>
          <w:lang w:val="fr-FR" w:eastAsia="nl-BE"/>
        </w:rPr>
        <w:t xml:space="preserve"> c</w:t>
      </w:r>
      <w:r w:rsidR="00BA508C" w:rsidRPr="00FC791F">
        <w:rPr>
          <w:rFonts w:ascii="Verdana" w:eastAsia="Times New Roman" w:hAnsi="Verdana" w:cs="Garamond"/>
          <w:sz w:val="20"/>
          <w:szCs w:val="20"/>
          <w:lang w:val="fr-FR" w:eastAsia="nl-BE"/>
        </w:rPr>
        <w:t>u</w:t>
      </w:r>
      <w:r w:rsidR="00BA508C" w:rsidRPr="00FC791F">
        <w:rPr>
          <w:rFonts w:ascii="Verdana" w:eastAsia="Times New Roman" w:hAnsi="Verdana" w:cs="Garamond"/>
          <w:sz w:val="20"/>
          <w:szCs w:val="20"/>
          <w:lang w:val="fr-FR" w:eastAsia="nl-BE"/>
        </w:rPr>
        <w:t>mulative de 0,6 V/</w:t>
      </w:r>
      <w:r w:rsidR="00E43C66">
        <w:rPr>
          <w:rFonts w:ascii="Verdana" w:eastAsia="Times New Roman" w:hAnsi="Verdana" w:cs="Garamond"/>
          <w:sz w:val="20"/>
          <w:szCs w:val="20"/>
          <w:lang w:val="fr-FR" w:eastAsia="nl-BE"/>
        </w:rPr>
        <w:t>m</w:t>
      </w:r>
      <w:r w:rsidR="00BA508C" w:rsidRPr="00FC791F">
        <w:rPr>
          <w:rFonts w:ascii="Verdana" w:eastAsia="Times New Roman" w:hAnsi="Verdana" w:cs="Garamond"/>
          <w:sz w:val="20"/>
          <w:szCs w:val="20"/>
          <w:lang w:val="fr-FR" w:eastAsia="nl-BE"/>
        </w:rPr>
        <w:t xml:space="preserve"> </w:t>
      </w:r>
      <w:r w:rsidRPr="00FC791F">
        <w:rPr>
          <w:rFonts w:ascii="Verdana" w:eastAsia="Times New Roman" w:hAnsi="Verdana" w:cs="Garamond"/>
          <w:sz w:val="20"/>
          <w:szCs w:val="20"/>
          <w:lang w:val="fr-FR" w:eastAsia="nl-BE"/>
        </w:rPr>
        <w:t xml:space="preserve">(ou moins) </w:t>
      </w:r>
      <w:r w:rsidR="00A24659" w:rsidRPr="00FC791F">
        <w:rPr>
          <w:rFonts w:ascii="Verdana" w:eastAsia="Times New Roman" w:hAnsi="Verdana" w:cs="Garamond"/>
          <w:sz w:val="20"/>
          <w:szCs w:val="20"/>
          <w:lang w:val="fr-FR" w:eastAsia="nl-BE"/>
        </w:rPr>
        <w:t xml:space="preserve">dans un délai de quatre mois </w:t>
      </w:r>
      <w:r w:rsidR="00BA508C" w:rsidRPr="00FC791F">
        <w:rPr>
          <w:rFonts w:ascii="Verdana" w:eastAsia="Times New Roman" w:hAnsi="Verdana" w:cs="Garamond"/>
          <w:sz w:val="20"/>
          <w:szCs w:val="20"/>
          <w:lang w:val="fr-FR" w:eastAsia="nl-BE"/>
        </w:rPr>
        <w:t xml:space="preserve">après avoir été </w:t>
      </w:r>
      <w:r w:rsidR="00A24659" w:rsidRPr="00FC791F">
        <w:rPr>
          <w:rFonts w:ascii="Verdana" w:eastAsia="Times New Roman" w:hAnsi="Verdana" w:cs="Garamond"/>
          <w:sz w:val="20"/>
          <w:szCs w:val="20"/>
          <w:lang w:val="fr-FR" w:eastAsia="nl-BE"/>
        </w:rPr>
        <w:t>informés de l'</w:t>
      </w:r>
      <w:r w:rsidR="00BA508C" w:rsidRPr="00FC791F">
        <w:rPr>
          <w:rFonts w:ascii="Verdana" w:eastAsia="Times New Roman" w:hAnsi="Verdana" w:cs="Garamond"/>
          <w:sz w:val="20"/>
          <w:szCs w:val="20"/>
          <w:lang w:val="fr-FR" w:eastAsia="nl-BE"/>
        </w:rPr>
        <w:t xml:space="preserve">avis à </w:t>
      </w:r>
      <w:r w:rsidR="00A24659" w:rsidRPr="00FC791F">
        <w:rPr>
          <w:rFonts w:ascii="Verdana" w:eastAsia="Times New Roman" w:hAnsi="Verdana" w:cs="Garamond"/>
          <w:sz w:val="20"/>
          <w:szCs w:val="20"/>
          <w:lang w:val="fr-FR" w:eastAsia="nl-BE"/>
        </w:rPr>
        <w:t xml:space="preserve">donner </w:t>
      </w:r>
      <w:r w:rsidRPr="00FC791F">
        <w:rPr>
          <w:rFonts w:ascii="Verdana" w:eastAsia="Times New Roman" w:hAnsi="Verdana" w:cs="Garamond"/>
          <w:sz w:val="20"/>
          <w:szCs w:val="20"/>
          <w:lang w:val="fr-FR" w:eastAsia="nl-BE"/>
        </w:rPr>
        <w:t>par le Conseil supérieur de la santé</w:t>
      </w:r>
      <w:r w:rsidR="00C6383B" w:rsidRPr="00FC791F">
        <w:rPr>
          <w:rFonts w:ascii="Verdana" w:eastAsia="Times New Roman" w:hAnsi="Verdana" w:cs="Garamond"/>
          <w:sz w:val="20"/>
          <w:szCs w:val="20"/>
          <w:lang w:val="fr-FR" w:eastAsia="nl-BE"/>
        </w:rPr>
        <w:t>, faute de quoi les défendeurs d</w:t>
      </w:r>
      <w:r w:rsidR="00C6383B" w:rsidRPr="00FC791F">
        <w:rPr>
          <w:rFonts w:ascii="Verdana" w:eastAsia="Times New Roman" w:hAnsi="Verdana" w:cs="Garamond"/>
          <w:sz w:val="20"/>
          <w:szCs w:val="20"/>
          <w:lang w:val="fr-FR" w:eastAsia="nl-BE"/>
        </w:rPr>
        <w:t>e</w:t>
      </w:r>
      <w:r w:rsidR="00C6383B" w:rsidRPr="00FC791F">
        <w:rPr>
          <w:rFonts w:ascii="Verdana" w:eastAsia="Times New Roman" w:hAnsi="Verdana" w:cs="Garamond"/>
          <w:sz w:val="20"/>
          <w:szCs w:val="20"/>
          <w:lang w:val="fr-FR" w:eastAsia="nl-BE"/>
        </w:rPr>
        <w:t xml:space="preserve">vront payer une amende de </w:t>
      </w:r>
      <w:r w:rsidR="00537115" w:rsidRPr="00FC791F">
        <w:rPr>
          <w:rFonts w:ascii="Verdana" w:eastAsia="Times New Roman" w:hAnsi="Verdana" w:cs="Garamond"/>
          <w:sz w:val="20"/>
          <w:szCs w:val="20"/>
          <w:lang w:val="fr-FR" w:eastAsia="nl-BE"/>
        </w:rPr>
        <w:t xml:space="preserve">1 </w:t>
      </w:r>
      <w:r w:rsidR="00C6383B" w:rsidRPr="00FC791F">
        <w:rPr>
          <w:rFonts w:ascii="Verdana" w:eastAsia="Times New Roman" w:hAnsi="Verdana" w:cs="Garamond"/>
          <w:sz w:val="20"/>
          <w:szCs w:val="20"/>
          <w:lang w:val="fr-FR" w:eastAsia="nl-BE"/>
        </w:rPr>
        <w:t>000 €/jour avec un maximum de 500 000 €.</w:t>
      </w:r>
    </w:p>
    <w:p w14:paraId="5CF3084F" w14:textId="56806B3A" w:rsidR="00BA508C" w:rsidRPr="00FC791F" w:rsidRDefault="00BA508C"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35EB115D" w14:textId="611B0057" w:rsidR="00687498" w:rsidRPr="00FC791F" w:rsidRDefault="000D2EC0"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Pr>
          <w:rFonts w:ascii="Verdana" w:eastAsia="Times New Roman" w:hAnsi="Verdana" w:cs="Garamond"/>
          <w:sz w:val="20"/>
          <w:szCs w:val="20"/>
          <w:lang w:val="fr-FR" w:eastAsia="nl-BE"/>
        </w:rPr>
        <w:t>C</w:t>
      </w:r>
      <w:r w:rsidR="00687498" w:rsidRPr="00FC791F">
        <w:rPr>
          <w:rFonts w:ascii="Verdana" w:eastAsia="Times New Roman" w:hAnsi="Verdana" w:cs="Garamond"/>
          <w:sz w:val="20"/>
          <w:szCs w:val="20"/>
          <w:lang w:val="fr-FR" w:eastAsia="nl-BE"/>
        </w:rPr>
        <w:t xml:space="preserve">ondamner les défendeurs aux dépens de la procédure, y compris les frais d'assignation et les frais de justice de la procédure estimés provisoirement à </w:t>
      </w:r>
      <w:r w:rsidR="007E60E0" w:rsidRPr="00FC791F">
        <w:rPr>
          <w:rFonts w:ascii="Verdana" w:eastAsia="Times New Roman" w:hAnsi="Verdana" w:cs="Garamond"/>
          <w:sz w:val="20"/>
          <w:szCs w:val="20"/>
          <w:lang w:val="fr-FR" w:eastAsia="nl-BE"/>
        </w:rPr>
        <w:t>1.</w:t>
      </w:r>
      <w:r w:rsidR="00687498" w:rsidRPr="00FC791F">
        <w:rPr>
          <w:rFonts w:ascii="Verdana" w:eastAsia="Times New Roman" w:hAnsi="Verdana" w:cs="Garamond"/>
          <w:sz w:val="20"/>
          <w:szCs w:val="20"/>
          <w:lang w:val="fr-FR" w:eastAsia="nl-BE"/>
        </w:rPr>
        <w:t>440,00 euros.</w:t>
      </w:r>
    </w:p>
    <w:p w14:paraId="1605FD25"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7ECD3E8B"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sidRPr="00FC791F">
        <w:rPr>
          <w:rFonts w:ascii="Verdana" w:eastAsia="Times New Roman" w:hAnsi="Verdana" w:cs="Garamond"/>
          <w:sz w:val="20"/>
          <w:szCs w:val="20"/>
          <w:lang w:val="fr-FR" w:eastAsia="nl-BE"/>
        </w:rPr>
        <w:t xml:space="preserve">D'autoriser l'exécution provisoire du présent jugement au sens de l'article 1495, alinéa 2 du Code judiciaire. </w:t>
      </w:r>
    </w:p>
    <w:p w14:paraId="22E54CFD"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51C74E5D"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r w:rsidRPr="00FC791F">
        <w:rPr>
          <w:rFonts w:ascii="Verdana" w:eastAsia="Times New Roman" w:hAnsi="Verdana" w:cs="Garamond"/>
          <w:sz w:val="20"/>
          <w:szCs w:val="20"/>
          <w:lang w:val="fr-FR" w:eastAsia="nl-BE"/>
        </w:rPr>
        <w:t>Dire que, le cas échéant, l'introduction d'un recours contre un jugement par défaut n'a pas d'effet suspensif.</w:t>
      </w:r>
    </w:p>
    <w:p w14:paraId="6616386C" w14:textId="77777777" w:rsidR="00687498" w:rsidRPr="00FC791F" w:rsidRDefault="00687498" w:rsidP="00C03246">
      <w:pPr>
        <w:autoSpaceDE w:val="0"/>
        <w:autoSpaceDN w:val="0"/>
        <w:adjustRightInd w:val="0"/>
        <w:spacing w:after="0" w:line="20" w:lineRule="atLeast"/>
        <w:jc w:val="both"/>
        <w:rPr>
          <w:rFonts w:ascii="Verdana" w:eastAsia="Times New Roman" w:hAnsi="Verdana" w:cs="Garamond"/>
          <w:sz w:val="20"/>
          <w:szCs w:val="20"/>
          <w:lang w:val="fr-FR" w:eastAsia="nl-BE"/>
        </w:rPr>
      </w:pPr>
    </w:p>
    <w:p w14:paraId="7D7F83FD" w14:textId="77777777"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FC791F">
        <w:rPr>
          <w:rFonts w:ascii="Verdana" w:eastAsia="Times New Roman" w:hAnsi="Verdana" w:cs="Garamond"/>
          <w:spacing w:val="-3"/>
          <w:sz w:val="20"/>
          <w:szCs w:val="20"/>
          <w:lang w:val="fr-FR" w:eastAsia="nl-BE"/>
        </w:rPr>
        <w:t>Le tout par jugement exécutoire par provision nonobstant tout recours ainsi qu'à l'exclusion de la garantie et à l'exclusion du cantonnement ;</w:t>
      </w:r>
    </w:p>
    <w:p w14:paraId="1FF76B50" w14:textId="77777777"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71DC8CD7" w14:textId="51AC7053"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FC791F">
        <w:rPr>
          <w:rFonts w:ascii="Verdana" w:eastAsia="Times New Roman" w:hAnsi="Verdana" w:cs="Garamond"/>
          <w:spacing w:val="-3"/>
          <w:sz w:val="20"/>
          <w:szCs w:val="20"/>
          <w:lang w:val="fr-FR" w:eastAsia="nl-BE"/>
        </w:rPr>
        <w:t>Et de peur que le défendeur ne l'ignore, j</w:t>
      </w:r>
      <w:r w:rsidR="00BB002C">
        <w:rPr>
          <w:rFonts w:ascii="Verdana" w:eastAsia="Times New Roman" w:hAnsi="Verdana" w:cs="Garamond"/>
          <w:spacing w:val="-3"/>
          <w:sz w:val="20"/>
          <w:szCs w:val="20"/>
          <w:lang w:val="fr-FR" w:eastAsia="nl-BE"/>
        </w:rPr>
        <w:t>e, soussigné,</w:t>
      </w:r>
      <w:r w:rsidRPr="00FC791F">
        <w:rPr>
          <w:rFonts w:ascii="Verdana" w:eastAsia="Times New Roman" w:hAnsi="Verdana" w:cs="Garamond"/>
          <w:spacing w:val="-3"/>
          <w:sz w:val="20"/>
          <w:szCs w:val="20"/>
          <w:lang w:val="fr-FR" w:eastAsia="nl-BE"/>
        </w:rPr>
        <w:t xml:space="preserve"> </w:t>
      </w:r>
      <w:r w:rsidR="000D2EC0">
        <w:rPr>
          <w:rFonts w:ascii="Verdana" w:eastAsia="Times New Roman" w:hAnsi="Verdana" w:cs="Garamond"/>
          <w:spacing w:val="-3"/>
          <w:sz w:val="20"/>
          <w:szCs w:val="20"/>
          <w:lang w:val="fr-FR" w:eastAsia="nl-BE"/>
        </w:rPr>
        <w:t xml:space="preserve">                                       , </w:t>
      </w:r>
      <w:r w:rsidR="00BB002C">
        <w:rPr>
          <w:rFonts w:ascii="Verdana" w:eastAsia="Times New Roman" w:hAnsi="Verdana" w:cs="Garamond"/>
          <w:spacing w:val="-3"/>
          <w:sz w:val="20"/>
          <w:szCs w:val="20"/>
          <w:lang w:val="fr-FR" w:eastAsia="nl-BE"/>
        </w:rPr>
        <w:t xml:space="preserve">ai </w:t>
      </w:r>
      <w:r w:rsidRPr="00FC791F">
        <w:rPr>
          <w:rFonts w:ascii="Verdana" w:eastAsia="Times New Roman" w:hAnsi="Verdana" w:cs="Garamond"/>
          <w:spacing w:val="-3"/>
          <w:sz w:val="20"/>
          <w:szCs w:val="20"/>
          <w:lang w:val="fr-FR" w:eastAsia="nl-BE"/>
        </w:rPr>
        <w:t>là où j'étais et où j'ai parlé comme susmentionné, laissé une copie de mon assignation, sous pli fermé si nécessaire, conformément à la loi ;</w:t>
      </w:r>
    </w:p>
    <w:p w14:paraId="3513F776" w14:textId="77777777"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5A093E4F" w14:textId="6D8FD198" w:rsidR="00687498" w:rsidRPr="00FC791F" w:rsidRDefault="000D2EC0"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r>
        <w:rPr>
          <w:rFonts w:ascii="Verdana" w:eastAsia="Times New Roman" w:hAnsi="Verdana" w:cs="Garamond"/>
          <w:spacing w:val="-3"/>
          <w:sz w:val="20"/>
          <w:szCs w:val="20"/>
          <w:lang w:val="fr-FR" w:eastAsia="nl-BE"/>
        </w:rPr>
        <w:t>Dont acte</w:t>
      </w:r>
      <w:r w:rsidR="00687498" w:rsidRPr="00FC791F">
        <w:rPr>
          <w:rFonts w:ascii="Verdana" w:eastAsia="Times New Roman" w:hAnsi="Verdana" w:cs="Garamond"/>
          <w:spacing w:val="-3"/>
          <w:sz w:val="20"/>
          <w:szCs w:val="20"/>
          <w:lang w:val="fr-FR" w:eastAsia="nl-BE"/>
        </w:rPr>
        <w:t xml:space="preserve"> :</w:t>
      </w:r>
    </w:p>
    <w:p w14:paraId="2FA851BD" w14:textId="77777777"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FC791F">
        <w:rPr>
          <w:rFonts w:ascii="Verdana" w:eastAsia="Times New Roman" w:hAnsi="Verdana" w:cs="Times New Roman"/>
          <w:sz w:val="20"/>
          <w:szCs w:val="20"/>
          <w:lang w:val="fr-FR" w:eastAsia="nl-BE"/>
        </w:rPr>
        <w:t>{$log stop}</w:t>
      </w:r>
    </w:p>
    <w:p w14:paraId="67548EDB" w14:textId="77777777"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r w:rsidRPr="00FC791F">
        <w:rPr>
          <w:rFonts w:ascii="Verdana" w:eastAsia="Times New Roman" w:hAnsi="Verdana" w:cs="Garamond"/>
          <w:spacing w:val="-3"/>
          <w:sz w:val="20"/>
          <w:szCs w:val="20"/>
          <w:lang w:val="fr-FR" w:eastAsia="nl-BE"/>
        </w:rPr>
        <w:t>Coût :</w:t>
      </w:r>
    </w:p>
    <w:p w14:paraId="31F9678A" w14:textId="77777777" w:rsidR="00687498" w:rsidRPr="00FC791F" w:rsidRDefault="00687498" w:rsidP="00C03246">
      <w:pPr>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20" w:lineRule="atLeast"/>
        <w:jc w:val="both"/>
        <w:rPr>
          <w:rFonts w:ascii="Verdana" w:eastAsia="Times New Roman" w:hAnsi="Verdana" w:cs="Garamond"/>
          <w:spacing w:val="-3"/>
          <w:sz w:val="20"/>
          <w:szCs w:val="20"/>
          <w:lang w:val="fr-FR" w:eastAsia="nl-BE"/>
        </w:rPr>
      </w:pPr>
    </w:p>
    <w:p w14:paraId="4805D5E6" w14:textId="64C53442" w:rsidR="00687498" w:rsidRPr="00687498" w:rsidRDefault="000D2EC0" w:rsidP="000D2EC0">
      <w:pPr>
        <w:tabs>
          <w:tab w:val="left" w:pos="5670"/>
          <w:tab w:val="right" w:pos="9026"/>
        </w:tabs>
        <w:suppressAutoHyphens/>
        <w:autoSpaceDE w:val="0"/>
        <w:autoSpaceDN w:val="0"/>
        <w:adjustRightInd w:val="0"/>
        <w:spacing w:after="0" w:line="20" w:lineRule="atLeast"/>
        <w:jc w:val="both"/>
        <w:rPr>
          <w:rFonts w:ascii="Verdana" w:eastAsia="Times New Roman" w:hAnsi="Verdana" w:cs="Garamond"/>
          <w:spacing w:val="-3"/>
          <w:sz w:val="20"/>
          <w:szCs w:val="20"/>
          <w:lang w:eastAsia="nl-BE"/>
        </w:rPr>
      </w:pPr>
      <w:r>
        <w:rPr>
          <w:rFonts w:ascii="Verdana" w:eastAsia="Times New Roman" w:hAnsi="Verdana" w:cs="Garamond"/>
          <w:spacing w:val="-3"/>
          <w:sz w:val="20"/>
          <w:szCs w:val="20"/>
          <w:lang w:val="fr-FR" w:eastAsia="nl-BE"/>
        </w:rPr>
        <w:tab/>
      </w:r>
      <w:r w:rsidR="00687498" w:rsidRPr="00687498">
        <w:rPr>
          <w:rFonts w:ascii="Verdana" w:eastAsia="Times New Roman" w:hAnsi="Verdana" w:cs="Garamond"/>
          <w:spacing w:val="-3"/>
          <w:sz w:val="20"/>
          <w:szCs w:val="20"/>
          <w:lang w:eastAsia="nl-BE"/>
        </w:rPr>
        <w:t>l'huissier.</w:t>
      </w:r>
    </w:p>
    <w:p w14:paraId="74ABF47B" w14:textId="77777777" w:rsidR="003D05D5" w:rsidRPr="00687498" w:rsidRDefault="003D05D5" w:rsidP="00C03246">
      <w:pPr>
        <w:spacing w:after="0" w:line="20" w:lineRule="atLeast"/>
        <w:jc w:val="both"/>
        <w:rPr>
          <w:rFonts w:ascii="Verdana" w:hAnsi="Verdana"/>
          <w:sz w:val="20"/>
          <w:szCs w:val="20"/>
        </w:rPr>
      </w:pPr>
    </w:p>
    <w:sectPr w:rsidR="003D05D5" w:rsidRPr="006874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5DAAE" w14:textId="77777777" w:rsidR="00703419" w:rsidRDefault="00703419" w:rsidP="00BA508C">
      <w:pPr>
        <w:spacing w:after="0" w:line="240" w:lineRule="auto"/>
      </w:pPr>
      <w:r>
        <w:separator/>
      </w:r>
    </w:p>
  </w:endnote>
  <w:endnote w:type="continuationSeparator" w:id="0">
    <w:p w14:paraId="147E7874" w14:textId="77777777" w:rsidR="00703419" w:rsidRDefault="00703419" w:rsidP="00BA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Plantin MT Std">
    <w:altName w:val="Cambria"/>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452800"/>
      <w:docPartObj>
        <w:docPartGallery w:val="Page Numbers (Bottom of Page)"/>
        <w:docPartUnique/>
      </w:docPartObj>
    </w:sdtPr>
    <w:sdtEndPr/>
    <w:sdtContent>
      <w:p w14:paraId="0C52DDBC" w14:textId="45C0B7D6" w:rsidR="0020568D" w:rsidRDefault="0020568D">
        <w:pPr>
          <w:pStyle w:val="Pieddepage"/>
          <w:jc w:val="center"/>
        </w:pPr>
        <w:r>
          <w:fldChar w:fldCharType="begin"/>
        </w:r>
        <w:r>
          <w:instrText>PAGE   \* MERGEFORMAT</w:instrText>
        </w:r>
        <w:r>
          <w:fldChar w:fldCharType="separate"/>
        </w:r>
        <w:r w:rsidR="00973209" w:rsidRPr="00973209">
          <w:rPr>
            <w:noProof/>
            <w:lang w:val="nl-NL"/>
          </w:rPr>
          <w:t>1</w:t>
        </w:r>
        <w:r>
          <w:fldChar w:fldCharType="end"/>
        </w:r>
      </w:p>
    </w:sdtContent>
  </w:sdt>
  <w:p w14:paraId="3DE39029" w14:textId="77777777" w:rsidR="0020568D" w:rsidRDefault="002056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CC2F1" w14:textId="77777777" w:rsidR="00703419" w:rsidRDefault="00703419" w:rsidP="00BA508C">
      <w:pPr>
        <w:spacing w:after="0" w:line="240" w:lineRule="auto"/>
      </w:pPr>
      <w:r>
        <w:separator/>
      </w:r>
    </w:p>
  </w:footnote>
  <w:footnote w:type="continuationSeparator" w:id="0">
    <w:p w14:paraId="73E3EB9B" w14:textId="77777777" w:rsidR="00703419" w:rsidRDefault="00703419" w:rsidP="00BA5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B5B"/>
    <w:multiLevelType w:val="hybridMultilevel"/>
    <w:tmpl w:val="BD8E9CF4"/>
    <w:lvl w:ilvl="0" w:tplc="9066FCFA">
      <w:numFmt w:val="bullet"/>
      <w:lvlText w:val="-"/>
      <w:lvlJc w:val="left"/>
      <w:pPr>
        <w:ind w:left="1080" w:hanging="360"/>
      </w:pPr>
      <w:rPr>
        <w:rFonts w:ascii="Verdana" w:eastAsiaTheme="minorHAnsi" w:hAnsi="Verdana"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1E083F43"/>
    <w:multiLevelType w:val="hybridMultilevel"/>
    <w:tmpl w:val="817E516A"/>
    <w:lvl w:ilvl="0" w:tplc="BB4CFA0E">
      <w:start w:val="1"/>
      <w:numFmt w:val="decimal"/>
      <w:lvlText w:val="%1."/>
      <w:lvlJc w:val="left"/>
      <w:pPr>
        <w:ind w:left="1068" w:hanging="360"/>
      </w:pPr>
      <w:rPr>
        <w:rFonts w:hint="default"/>
        <w:b/>
        <w:u w:val="single"/>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nsid w:val="42347875"/>
    <w:multiLevelType w:val="hybridMultilevel"/>
    <w:tmpl w:val="F51A8A66"/>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nsid w:val="4CE5205C"/>
    <w:multiLevelType w:val="hybridMultilevel"/>
    <w:tmpl w:val="B0A2CF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53B16F01"/>
    <w:multiLevelType w:val="hybridMultilevel"/>
    <w:tmpl w:val="94201090"/>
    <w:lvl w:ilvl="0" w:tplc="6740794A">
      <w:start w:val="1"/>
      <w:numFmt w:val="decimal"/>
      <w:lvlText w:val="%1."/>
      <w:lvlJc w:val="left"/>
      <w:pPr>
        <w:ind w:left="2136" w:hanging="360"/>
      </w:pPr>
      <w:rPr>
        <w:rFonts w:hint="default"/>
      </w:r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5">
    <w:nsid w:val="5EFF1D03"/>
    <w:multiLevelType w:val="hybridMultilevel"/>
    <w:tmpl w:val="8100840A"/>
    <w:lvl w:ilvl="0" w:tplc="6740794A">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6">
    <w:nsid w:val="64ED11FF"/>
    <w:multiLevelType w:val="hybridMultilevel"/>
    <w:tmpl w:val="6B26F62A"/>
    <w:lvl w:ilvl="0" w:tplc="5D306664">
      <w:start w:val="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66AA47A2"/>
    <w:multiLevelType w:val="hybridMultilevel"/>
    <w:tmpl w:val="C7FE11F8"/>
    <w:lvl w:ilvl="0" w:tplc="C706DB6E">
      <w:start w:val="1"/>
      <w:numFmt w:val="bullet"/>
      <w:lvlText w:val="-"/>
      <w:lvlJc w:val="left"/>
      <w:pPr>
        <w:tabs>
          <w:tab w:val="num" w:pos="567"/>
        </w:tabs>
        <w:ind w:left="567" w:hanging="340"/>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6C33228D"/>
    <w:multiLevelType w:val="hybridMultilevel"/>
    <w:tmpl w:val="632E42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5994A9F"/>
    <w:multiLevelType w:val="hybridMultilevel"/>
    <w:tmpl w:val="F14EF4D2"/>
    <w:lvl w:ilvl="0" w:tplc="0813000F">
      <w:start w:val="1"/>
      <w:numFmt w:val="decimal"/>
      <w:lvlText w:val="%1."/>
      <w:lvlJc w:val="left"/>
      <w:pPr>
        <w:ind w:left="3942" w:hanging="360"/>
      </w:pPr>
    </w:lvl>
    <w:lvl w:ilvl="1" w:tplc="08130019" w:tentative="1">
      <w:start w:val="1"/>
      <w:numFmt w:val="lowerLetter"/>
      <w:lvlText w:val="%2."/>
      <w:lvlJc w:val="left"/>
      <w:pPr>
        <w:ind w:left="4662" w:hanging="360"/>
      </w:pPr>
    </w:lvl>
    <w:lvl w:ilvl="2" w:tplc="0813001B" w:tentative="1">
      <w:start w:val="1"/>
      <w:numFmt w:val="lowerRoman"/>
      <w:lvlText w:val="%3."/>
      <w:lvlJc w:val="right"/>
      <w:pPr>
        <w:ind w:left="5382" w:hanging="180"/>
      </w:pPr>
    </w:lvl>
    <w:lvl w:ilvl="3" w:tplc="0813000F" w:tentative="1">
      <w:start w:val="1"/>
      <w:numFmt w:val="decimal"/>
      <w:lvlText w:val="%4."/>
      <w:lvlJc w:val="left"/>
      <w:pPr>
        <w:ind w:left="6102" w:hanging="360"/>
      </w:pPr>
    </w:lvl>
    <w:lvl w:ilvl="4" w:tplc="08130019" w:tentative="1">
      <w:start w:val="1"/>
      <w:numFmt w:val="lowerLetter"/>
      <w:lvlText w:val="%5."/>
      <w:lvlJc w:val="left"/>
      <w:pPr>
        <w:ind w:left="6822" w:hanging="360"/>
      </w:pPr>
    </w:lvl>
    <w:lvl w:ilvl="5" w:tplc="0813001B" w:tentative="1">
      <w:start w:val="1"/>
      <w:numFmt w:val="lowerRoman"/>
      <w:lvlText w:val="%6."/>
      <w:lvlJc w:val="right"/>
      <w:pPr>
        <w:ind w:left="7542" w:hanging="180"/>
      </w:pPr>
    </w:lvl>
    <w:lvl w:ilvl="6" w:tplc="0813000F" w:tentative="1">
      <w:start w:val="1"/>
      <w:numFmt w:val="decimal"/>
      <w:lvlText w:val="%7."/>
      <w:lvlJc w:val="left"/>
      <w:pPr>
        <w:ind w:left="8262" w:hanging="360"/>
      </w:pPr>
    </w:lvl>
    <w:lvl w:ilvl="7" w:tplc="08130019" w:tentative="1">
      <w:start w:val="1"/>
      <w:numFmt w:val="lowerLetter"/>
      <w:lvlText w:val="%8."/>
      <w:lvlJc w:val="left"/>
      <w:pPr>
        <w:ind w:left="8982" w:hanging="360"/>
      </w:pPr>
    </w:lvl>
    <w:lvl w:ilvl="8" w:tplc="0813001B" w:tentative="1">
      <w:start w:val="1"/>
      <w:numFmt w:val="lowerRoman"/>
      <w:lvlText w:val="%9."/>
      <w:lvlJc w:val="right"/>
      <w:pPr>
        <w:ind w:left="9702"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6"/>
  </w:num>
  <w:num w:numId="5">
    <w:abstractNumId w:val="3"/>
  </w:num>
  <w:num w:numId="6">
    <w:abstractNumId w:val="9"/>
  </w:num>
  <w:num w:numId="7">
    <w:abstractNumId w:val="0"/>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DB"/>
    <w:rsid w:val="00012131"/>
    <w:rsid w:val="00030ECB"/>
    <w:rsid w:val="00037584"/>
    <w:rsid w:val="00046CBC"/>
    <w:rsid w:val="00070822"/>
    <w:rsid w:val="000922D7"/>
    <w:rsid w:val="000A6F41"/>
    <w:rsid w:val="000B244A"/>
    <w:rsid w:val="000B3E16"/>
    <w:rsid w:val="000B724A"/>
    <w:rsid w:val="000C2E44"/>
    <w:rsid w:val="000D2EC0"/>
    <w:rsid w:val="000D75F4"/>
    <w:rsid w:val="001245FC"/>
    <w:rsid w:val="00130BFA"/>
    <w:rsid w:val="00176A81"/>
    <w:rsid w:val="00181C82"/>
    <w:rsid w:val="0019151A"/>
    <w:rsid w:val="00196428"/>
    <w:rsid w:val="0019775A"/>
    <w:rsid w:val="00205016"/>
    <w:rsid w:val="0020568D"/>
    <w:rsid w:val="00211226"/>
    <w:rsid w:val="002315CD"/>
    <w:rsid w:val="00232614"/>
    <w:rsid w:val="00263AD2"/>
    <w:rsid w:val="00275704"/>
    <w:rsid w:val="0027659B"/>
    <w:rsid w:val="00280590"/>
    <w:rsid w:val="00281FD3"/>
    <w:rsid w:val="002874BB"/>
    <w:rsid w:val="00297BE5"/>
    <w:rsid w:val="002B43C6"/>
    <w:rsid w:val="00317A3C"/>
    <w:rsid w:val="00320BA4"/>
    <w:rsid w:val="00336CD4"/>
    <w:rsid w:val="0035328C"/>
    <w:rsid w:val="003568B4"/>
    <w:rsid w:val="00364935"/>
    <w:rsid w:val="00393596"/>
    <w:rsid w:val="003B0994"/>
    <w:rsid w:val="003B6078"/>
    <w:rsid w:val="003C269E"/>
    <w:rsid w:val="003D05D5"/>
    <w:rsid w:val="003E2588"/>
    <w:rsid w:val="003E75DB"/>
    <w:rsid w:val="00403420"/>
    <w:rsid w:val="004169FD"/>
    <w:rsid w:val="004B3B5D"/>
    <w:rsid w:val="004B696B"/>
    <w:rsid w:val="004B7397"/>
    <w:rsid w:val="004C24E4"/>
    <w:rsid w:val="004C48BE"/>
    <w:rsid w:val="004C67DB"/>
    <w:rsid w:val="004C6B39"/>
    <w:rsid w:val="004E6C91"/>
    <w:rsid w:val="00500BA8"/>
    <w:rsid w:val="00501A4D"/>
    <w:rsid w:val="00504564"/>
    <w:rsid w:val="00510329"/>
    <w:rsid w:val="00515096"/>
    <w:rsid w:val="005233D6"/>
    <w:rsid w:val="005317D8"/>
    <w:rsid w:val="00537115"/>
    <w:rsid w:val="005411A3"/>
    <w:rsid w:val="0054405D"/>
    <w:rsid w:val="00575ABD"/>
    <w:rsid w:val="005903B8"/>
    <w:rsid w:val="005B6608"/>
    <w:rsid w:val="005B680F"/>
    <w:rsid w:val="005D4E9D"/>
    <w:rsid w:val="005E6A43"/>
    <w:rsid w:val="005F1A83"/>
    <w:rsid w:val="005F57E0"/>
    <w:rsid w:val="006810A9"/>
    <w:rsid w:val="00687498"/>
    <w:rsid w:val="00687BE4"/>
    <w:rsid w:val="006B3B6C"/>
    <w:rsid w:val="006D0545"/>
    <w:rsid w:val="006D3DED"/>
    <w:rsid w:val="006D41A0"/>
    <w:rsid w:val="00701CA8"/>
    <w:rsid w:val="00703419"/>
    <w:rsid w:val="00706E15"/>
    <w:rsid w:val="00711BDB"/>
    <w:rsid w:val="00712430"/>
    <w:rsid w:val="007272F0"/>
    <w:rsid w:val="007430D5"/>
    <w:rsid w:val="00757D2D"/>
    <w:rsid w:val="00764E8F"/>
    <w:rsid w:val="00770A8B"/>
    <w:rsid w:val="0078113A"/>
    <w:rsid w:val="007A59B1"/>
    <w:rsid w:val="007C39D7"/>
    <w:rsid w:val="007C5BBA"/>
    <w:rsid w:val="007E287E"/>
    <w:rsid w:val="007E60E0"/>
    <w:rsid w:val="007E7D55"/>
    <w:rsid w:val="00815214"/>
    <w:rsid w:val="00820A77"/>
    <w:rsid w:val="0083506F"/>
    <w:rsid w:val="008370CD"/>
    <w:rsid w:val="008374D8"/>
    <w:rsid w:val="00837721"/>
    <w:rsid w:val="008618EB"/>
    <w:rsid w:val="00862CF4"/>
    <w:rsid w:val="0087021D"/>
    <w:rsid w:val="008857B2"/>
    <w:rsid w:val="008A122D"/>
    <w:rsid w:val="008C071D"/>
    <w:rsid w:val="008D353D"/>
    <w:rsid w:val="008E6646"/>
    <w:rsid w:val="0092545D"/>
    <w:rsid w:val="00961485"/>
    <w:rsid w:val="00962A68"/>
    <w:rsid w:val="00973209"/>
    <w:rsid w:val="00994F94"/>
    <w:rsid w:val="009B3BE3"/>
    <w:rsid w:val="009B6E04"/>
    <w:rsid w:val="009B78E4"/>
    <w:rsid w:val="009C1E0A"/>
    <w:rsid w:val="009D2742"/>
    <w:rsid w:val="009E0333"/>
    <w:rsid w:val="009F25A4"/>
    <w:rsid w:val="009F5F5A"/>
    <w:rsid w:val="00A04BA3"/>
    <w:rsid w:val="00A0518F"/>
    <w:rsid w:val="00A13D37"/>
    <w:rsid w:val="00A24659"/>
    <w:rsid w:val="00A31B1D"/>
    <w:rsid w:val="00A33B27"/>
    <w:rsid w:val="00A73844"/>
    <w:rsid w:val="00A94824"/>
    <w:rsid w:val="00AA4EAC"/>
    <w:rsid w:val="00B132ED"/>
    <w:rsid w:val="00B144CA"/>
    <w:rsid w:val="00B3462F"/>
    <w:rsid w:val="00B37420"/>
    <w:rsid w:val="00B47A28"/>
    <w:rsid w:val="00B53E61"/>
    <w:rsid w:val="00B55FC8"/>
    <w:rsid w:val="00B8729C"/>
    <w:rsid w:val="00BA508C"/>
    <w:rsid w:val="00BB002C"/>
    <w:rsid w:val="00BB5F60"/>
    <w:rsid w:val="00BF0CF1"/>
    <w:rsid w:val="00BF337F"/>
    <w:rsid w:val="00C03246"/>
    <w:rsid w:val="00C20C4C"/>
    <w:rsid w:val="00C23F5E"/>
    <w:rsid w:val="00C24859"/>
    <w:rsid w:val="00C32501"/>
    <w:rsid w:val="00C33158"/>
    <w:rsid w:val="00C33247"/>
    <w:rsid w:val="00C4386E"/>
    <w:rsid w:val="00C54082"/>
    <w:rsid w:val="00C57D79"/>
    <w:rsid w:val="00C6383B"/>
    <w:rsid w:val="00C67452"/>
    <w:rsid w:val="00C766F1"/>
    <w:rsid w:val="00C8491F"/>
    <w:rsid w:val="00C91AAF"/>
    <w:rsid w:val="00C91B65"/>
    <w:rsid w:val="00C9757B"/>
    <w:rsid w:val="00CB0FDF"/>
    <w:rsid w:val="00CC05F2"/>
    <w:rsid w:val="00CC6CCD"/>
    <w:rsid w:val="00CD426E"/>
    <w:rsid w:val="00CE7518"/>
    <w:rsid w:val="00D173A4"/>
    <w:rsid w:val="00D25017"/>
    <w:rsid w:val="00D5092C"/>
    <w:rsid w:val="00D53D7F"/>
    <w:rsid w:val="00D747B0"/>
    <w:rsid w:val="00D80021"/>
    <w:rsid w:val="00D82356"/>
    <w:rsid w:val="00DA4C3B"/>
    <w:rsid w:val="00DE11E3"/>
    <w:rsid w:val="00DE5EE1"/>
    <w:rsid w:val="00DE665F"/>
    <w:rsid w:val="00DF50ED"/>
    <w:rsid w:val="00E148AF"/>
    <w:rsid w:val="00E15C74"/>
    <w:rsid w:val="00E35C53"/>
    <w:rsid w:val="00E43C66"/>
    <w:rsid w:val="00E47E62"/>
    <w:rsid w:val="00E56E27"/>
    <w:rsid w:val="00E64356"/>
    <w:rsid w:val="00E862CF"/>
    <w:rsid w:val="00E963E2"/>
    <w:rsid w:val="00EB1E33"/>
    <w:rsid w:val="00EE697E"/>
    <w:rsid w:val="00F11431"/>
    <w:rsid w:val="00F30C1A"/>
    <w:rsid w:val="00F3700F"/>
    <w:rsid w:val="00F4301A"/>
    <w:rsid w:val="00F6240C"/>
    <w:rsid w:val="00F81E86"/>
    <w:rsid w:val="00F86662"/>
    <w:rsid w:val="00FB2496"/>
    <w:rsid w:val="00FC791F"/>
    <w:rsid w:val="00FF75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98"/>
  </w:style>
  <w:style w:type="paragraph" w:styleId="Titre1">
    <w:name w:val="heading 1"/>
    <w:basedOn w:val="Normal"/>
    <w:next w:val="Normal"/>
    <w:link w:val="Titre1Car"/>
    <w:qFormat/>
    <w:rsid w:val="00687498"/>
    <w:pPr>
      <w:keepNext/>
      <w:spacing w:after="0" w:line="240" w:lineRule="auto"/>
      <w:outlineLvl w:val="0"/>
    </w:pPr>
    <w:rPr>
      <w:rFonts w:ascii="Times New Roman" w:eastAsia="Times New Roman" w:hAnsi="Times New Roman" w:cs="Times New Roman"/>
      <w:sz w:val="32"/>
      <w:szCs w:val="24"/>
      <w:lang w:val="nl-NL" w:eastAsia="nl-NL"/>
    </w:rPr>
  </w:style>
  <w:style w:type="paragraph" w:styleId="Titre2">
    <w:name w:val="heading 2"/>
    <w:basedOn w:val="Normal"/>
    <w:next w:val="Normal"/>
    <w:link w:val="Titre2Car"/>
    <w:uiPriority w:val="9"/>
    <w:unhideWhenUsed/>
    <w:qFormat/>
    <w:rsid w:val="006874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7498"/>
    <w:rPr>
      <w:rFonts w:ascii="Times New Roman" w:eastAsia="Times New Roman" w:hAnsi="Times New Roman" w:cs="Times New Roman"/>
      <w:sz w:val="32"/>
      <w:szCs w:val="24"/>
      <w:lang w:val="nl-NL" w:eastAsia="nl-NL"/>
    </w:rPr>
  </w:style>
  <w:style w:type="paragraph" w:customStyle="1" w:styleId="BriefTekst">
    <w:name w:val="BriefTekst"/>
    <w:basedOn w:val="Normal"/>
    <w:rsid w:val="00687498"/>
    <w:pPr>
      <w:tabs>
        <w:tab w:val="left" w:pos="567"/>
        <w:tab w:val="right" w:pos="7655"/>
      </w:tabs>
      <w:spacing w:after="0" w:line="240" w:lineRule="auto"/>
      <w:jc w:val="both"/>
    </w:pPr>
    <w:rPr>
      <w:rFonts w:ascii="Verdana" w:eastAsia="Times New Roman" w:hAnsi="Verdana" w:cs="Times New Roman"/>
      <w:sz w:val="20"/>
      <w:szCs w:val="20"/>
      <w:lang w:val="nl-NL" w:eastAsia="nl-NL"/>
    </w:rPr>
  </w:style>
  <w:style w:type="table" w:styleId="Grilledutableau">
    <w:name w:val="Table Grid"/>
    <w:basedOn w:val="TableauNormal"/>
    <w:uiPriority w:val="39"/>
    <w:rsid w:val="00687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687498"/>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E60E0"/>
    <w:pPr>
      <w:ind w:left="720"/>
      <w:contextualSpacing/>
    </w:pPr>
  </w:style>
  <w:style w:type="paragraph" w:styleId="Sansinterligne">
    <w:name w:val="No Spacing"/>
    <w:uiPriority w:val="1"/>
    <w:qFormat/>
    <w:rsid w:val="00F86662"/>
    <w:pPr>
      <w:spacing w:after="0" w:line="240" w:lineRule="auto"/>
    </w:pPr>
  </w:style>
  <w:style w:type="paragraph" w:styleId="Notedebasdepage">
    <w:name w:val="footnote text"/>
    <w:basedOn w:val="Normal"/>
    <w:link w:val="NotedebasdepageCar"/>
    <w:uiPriority w:val="99"/>
    <w:semiHidden/>
    <w:unhideWhenUsed/>
    <w:rsid w:val="00BA50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508C"/>
    <w:rPr>
      <w:sz w:val="20"/>
      <w:szCs w:val="20"/>
    </w:rPr>
  </w:style>
  <w:style w:type="character" w:styleId="Appelnotedebasdep">
    <w:name w:val="footnote reference"/>
    <w:basedOn w:val="Policepardfaut"/>
    <w:uiPriority w:val="99"/>
    <w:rsid w:val="00BA508C"/>
    <w:rPr>
      <w:rFonts w:ascii="Garamond" w:hAnsi="Garamond" w:cs="Garamond"/>
      <w:sz w:val="20"/>
      <w:szCs w:val="20"/>
      <w:vertAlign w:val="superscript"/>
    </w:rPr>
  </w:style>
  <w:style w:type="character" w:customStyle="1" w:styleId="Voetnoottekens">
    <w:name w:val="Voetnoottekens"/>
    <w:uiPriority w:val="99"/>
    <w:rsid w:val="004C24E4"/>
    <w:rPr>
      <w:rFonts w:ascii="Times New Roman" w:hAnsi="Times New Roman" w:cs="Times New Roman"/>
      <w:sz w:val="20"/>
      <w:szCs w:val="20"/>
    </w:rPr>
  </w:style>
  <w:style w:type="paragraph" w:styleId="En-tte">
    <w:name w:val="header"/>
    <w:basedOn w:val="Normal"/>
    <w:link w:val="En-tteCar"/>
    <w:uiPriority w:val="99"/>
    <w:unhideWhenUsed/>
    <w:rsid w:val="00B144CA"/>
    <w:pPr>
      <w:tabs>
        <w:tab w:val="center" w:pos="4536"/>
        <w:tab w:val="right" w:pos="9072"/>
      </w:tabs>
      <w:spacing w:after="0" w:line="240" w:lineRule="auto"/>
    </w:pPr>
  </w:style>
  <w:style w:type="character" w:customStyle="1" w:styleId="En-tteCar">
    <w:name w:val="En-tête Car"/>
    <w:basedOn w:val="Policepardfaut"/>
    <w:link w:val="En-tte"/>
    <w:uiPriority w:val="99"/>
    <w:rsid w:val="00B144CA"/>
  </w:style>
  <w:style w:type="paragraph" w:styleId="Pieddepage">
    <w:name w:val="footer"/>
    <w:basedOn w:val="Normal"/>
    <w:link w:val="PieddepageCar"/>
    <w:uiPriority w:val="99"/>
    <w:unhideWhenUsed/>
    <w:rsid w:val="00B144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4CA"/>
  </w:style>
  <w:style w:type="character" w:styleId="Marquedecommentaire">
    <w:name w:val="annotation reference"/>
    <w:basedOn w:val="Policepardfaut"/>
    <w:uiPriority w:val="99"/>
    <w:semiHidden/>
    <w:unhideWhenUsed/>
    <w:rsid w:val="00B144CA"/>
    <w:rPr>
      <w:sz w:val="16"/>
      <w:szCs w:val="16"/>
    </w:rPr>
  </w:style>
  <w:style w:type="paragraph" w:styleId="Commentaire">
    <w:name w:val="annotation text"/>
    <w:basedOn w:val="Normal"/>
    <w:link w:val="CommentaireCar"/>
    <w:uiPriority w:val="99"/>
    <w:semiHidden/>
    <w:unhideWhenUsed/>
    <w:rsid w:val="00B144CA"/>
    <w:pPr>
      <w:spacing w:line="240" w:lineRule="auto"/>
    </w:pPr>
    <w:rPr>
      <w:sz w:val="20"/>
      <w:szCs w:val="20"/>
    </w:rPr>
  </w:style>
  <w:style w:type="character" w:customStyle="1" w:styleId="CommentaireCar">
    <w:name w:val="Commentaire Car"/>
    <w:basedOn w:val="Policepardfaut"/>
    <w:link w:val="Commentaire"/>
    <w:uiPriority w:val="99"/>
    <w:semiHidden/>
    <w:rsid w:val="00B144CA"/>
    <w:rPr>
      <w:sz w:val="20"/>
      <w:szCs w:val="20"/>
    </w:rPr>
  </w:style>
  <w:style w:type="paragraph" w:styleId="Objetducommentaire">
    <w:name w:val="annotation subject"/>
    <w:basedOn w:val="Commentaire"/>
    <w:next w:val="Commentaire"/>
    <w:link w:val="ObjetducommentaireCar"/>
    <w:uiPriority w:val="99"/>
    <w:semiHidden/>
    <w:unhideWhenUsed/>
    <w:rsid w:val="00B144CA"/>
    <w:rPr>
      <w:b/>
      <w:bCs/>
    </w:rPr>
  </w:style>
  <w:style w:type="character" w:customStyle="1" w:styleId="ObjetducommentaireCar">
    <w:name w:val="Objet du commentaire Car"/>
    <w:basedOn w:val="CommentaireCar"/>
    <w:link w:val="Objetducommentaire"/>
    <w:uiPriority w:val="99"/>
    <w:semiHidden/>
    <w:rsid w:val="00B144CA"/>
    <w:rPr>
      <w:b/>
      <w:bCs/>
      <w:sz w:val="20"/>
      <w:szCs w:val="20"/>
    </w:rPr>
  </w:style>
  <w:style w:type="character" w:styleId="Lienhypertexte">
    <w:name w:val="Hyperlink"/>
    <w:basedOn w:val="Policepardfaut"/>
    <w:uiPriority w:val="99"/>
    <w:unhideWhenUsed/>
    <w:rsid w:val="00DE665F"/>
    <w:rPr>
      <w:color w:val="0563C1" w:themeColor="hyperlink"/>
      <w:u w:val="single"/>
    </w:rPr>
  </w:style>
  <w:style w:type="character" w:customStyle="1" w:styleId="UnresolvedMention1">
    <w:name w:val="Unresolved Mention1"/>
    <w:basedOn w:val="Policepardfaut"/>
    <w:uiPriority w:val="99"/>
    <w:semiHidden/>
    <w:unhideWhenUsed/>
    <w:rsid w:val="00DE66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98"/>
  </w:style>
  <w:style w:type="paragraph" w:styleId="Titre1">
    <w:name w:val="heading 1"/>
    <w:basedOn w:val="Normal"/>
    <w:next w:val="Normal"/>
    <w:link w:val="Titre1Car"/>
    <w:qFormat/>
    <w:rsid w:val="00687498"/>
    <w:pPr>
      <w:keepNext/>
      <w:spacing w:after="0" w:line="240" w:lineRule="auto"/>
      <w:outlineLvl w:val="0"/>
    </w:pPr>
    <w:rPr>
      <w:rFonts w:ascii="Times New Roman" w:eastAsia="Times New Roman" w:hAnsi="Times New Roman" w:cs="Times New Roman"/>
      <w:sz w:val="32"/>
      <w:szCs w:val="24"/>
      <w:lang w:val="nl-NL" w:eastAsia="nl-NL"/>
    </w:rPr>
  </w:style>
  <w:style w:type="paragraph" w:styleId="Titre2">
    <w:name w:val="heading 2"/>
    <w:basedOn w:val="Normal"/>
    <w:next w:val="Normal"/>
    <w:link w:val="Titre2Car"/>
    <w:uiPriority w:val="9"/>
    <w:unhideWhenUsed/>
    <w:qFormat/>
    <w:rsid w:val="006874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7498"/>
    <w:rPr>
      <w:rFonts w:ascii="Times New Roman" w:eastAsia="Times New Roman" w:hAnsi="Times New Roman" w:cs="Times New Roman"/>
      <w:sz w:val="32"/>
      <w:szCs w:val="24"/>
      <w:lang w:val="nl-NL" w:eastAsia="nl-NL"/>
    </w:rPr>
  </w:style>
  <w:style w:type="paragraph" w:customStyle="1" w:styleId="BriefTekst">
    <w:name w:val="BriefTekst"/>
    <w:basedOn w:val="Normal"/>
    <w:rsid w:val="00687498"/>
    <w:pPr>
      <w:tabs>
        <w:tab w:val="left" w:pos="567"/>
        <w:tab w:val="right" w:pos="7655"/>
      </w:tabs>
      <w:spacing w:after="0" w:line="240" w:lineRule="auto"/>
      <w:jc w:val="both"/>
    </w:pPr>
    <w:rPr>
      <w:rFonts w:ascii="Verdana" w:eastAsia="Times New Roman" w:hAnsi="Verdana" w:cs="Times New Roman"/>
      <w:sz w:val="20"/>
      <w:szCs w:val="20"/>
      <w:lang w:val="nl-NL" w:eastAsia="nl-NL"/>
    </w:rPr>
  </w:style>
  <w:style w:type="table" w:styleId="Grilledutableau">
    <w:name w:val="Table Grid"/>
    <w:basedOn w:val="TableauNormal"/>
    <w:uiPriority w:val="39"/>
    <w:rsid w:val="00687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687498"/>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E60E0"/>
    <w:pPr>
      <w:ind w:left="720"/>
      <w:contextualSpacing/>
    </w:pPr>
  </w:style>
  <w:style w:type="paragraph" w:styleId="Sansinterligne">
    <w:name w:val="No Spacing"/>
    <w:uiPriority w:val="1"/>
    <w:qFormat/>
    <w:rsid w:val="00F86662"/>
    <w:pPr>
      <w:spacing w:after="0" w:line="240" w:lineRule="auto"/>
    </w:pPr>
  </w:style>
  <w:style w:type="paragraph" w:styleId="Notedebasdepage">
    <w:name w:val="footnote text"/>
    <w:basedOn w:val="Normal"/>
    <w:link w:val="NotedebasdepageCar"/>
    <w:uiPriority w:val="99"/>
    <w:semiHidden/>
    <w:unhideWhenUsed/>
    <w:rsid w:val="00BA50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508C"/>
    <w:rPr>
      <w:sz w:val="20"/>
      <w:szCs w:val="20"/>
    </w:rPr>
  </w:style>
  <w:style w:type="character" w:styleId="Appelnotedebasdep">
    <w:name w:val="footnote reference"/>
    <w:basedOn w:val="Policepardfaut"/>
    <w:uiPriority w:val="99"/>
    <w:rsid w:val="00BA508C"/>
    <w:rPr>
      <w:rFonts w:ascii="Garamond" w:hAnsi="Garamond" w:cs="Garamond"/>
      <w:sz w:val="20"/>
      <w:szCs w:val="20"/>
      <w:vertAlign w:val="superscript"/>
    </w:rPr>
  </w:style>
  <w:style w:type="character" w:customStyle="1" w:styleId="Voetnoottekens">
    <w:name w:val="Voetnoottekens"/>
    <w:uiPriority w:val="99"/>
    <w:rsid w:val="004C24E4"/>
    <w:rPr>
      <w:rFonts w:ascii="Times New Roman" w:hAnsi="Times New Roman" w:cs="Times New Roman"/>
      <w:sz w:val="20"/>
      <w:szCs w:val="20"/>
    </w:rPr>
  </w:style>
  <w:style w:type="paragraph" w:styleId="En-tte">
    <w:name w:val="header"/>
    <w:basedOn w:val="Normal"/>
    <w:link w:val="En-tteCar"/>
    <w:uiPriority w:val="99"/>
    <w:unhideWhenUsed/>
    <w:rsid w:val="00B144CA"/>
    <w:pPr>
      <w:tabs>
        <w:tab w:val="center" w:pos="4536"/>
        <w:tab w:val="right" w:pos="9072"/>
      </w:tabs>
      <w:spacing w:after="0" w:line="240" w:lineRule="auto"/>
    </w:pPr>
  </w:style>
  <w:style w:type="character" w:customStyle="1" w:styleId="En-tteCar">
    <w:name w:val="En-tête Car"/>
    <w:basedOn w:val="Policepardfaut"/>
    <w:link w:val="En-tte"/>
    <w:uiPriority w:val="99"/>
    <w:rsid w:val="00B144CA"/>
  </w:style>
  <w:style w:type="paragraph" w:styleId="Pieddepage">
    <w:name w:val="footer"/>
    <w:basedOn w:val="Normal"/>
    <w:link w:val="PieddepageCar"/>
    <w:uiPriority w:val="99"/>
    <w:unhideWhenUsed/>
    <w:rsid w:val="00B144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4CA"/>
  </w:style>
  <w:style w:type="character" w:styleId="Marquedecommentaire">
    <w:name w:val="annotation reference"/>
    <w:basedOn w:val="Policepardfaut"/>
    <w:uiPriority w:val="99"/>
    <w:semiHidden/>
    <w:unhideWhenUsed/>
    <w:rsid w:val="00B144CA"/>
    <w:rPr>
      <w:sz w:val="16"/>
      <w:szCs w:val="16"/>
    </w:rPr>
  </w:style>
  <w:style w:type="paragraph" w:styleId="Commentaire">
    <w:name w:val="annotation text"/>
    <w:basedOn w:val="Normal"/>
    <w:link w:val="CommentaireCar"/>
    <w:uiPriority w:val="99"/>
    <w:semiHidden/>
    <w:unhideWhenUsed/>
    <w:rsid w:val="00B144CA"/>
    <w:pPr>
      <w:spacing w:line="240" w:lineRule="auto"/>
    </w:pPr>
    <w:rPr>
      <w:sz w:val="20"/>
      <w:szCs w:val="20"/>
    </w:rPr>
  </w:style>
  <w:style w:type="character" w:customStyle="1" w:styleId="CommentaireCar">
    <w:name w:val="Commentaire Car"/>
    <w:basedOn w:val="Policepardfaut"/>
    <w:link w:val="Commentaire"/>
    <w:uiPriority w:val="99"/>
    <w:semiHidden/>
    <w:rsid w:val="00B144CA"/>
    <w:rPr>
      <w:sz w:val="20"/>
      <w:szCs w:val="20"/>
    </w:rPr>
  </w:style>
  <w:style w:type="paragraph" w:styleId="Objetducommentaire">
    <w:name w:val="annotation subject"/>
    <w:basedOn w:val="Commentaire"/>
    <w:next w:val="Commentaire"/>
    <w:link w:val="ObjetducommentaireCar"/>
    <w:uiPriority w:val="99"/>
    <w:semiHidden/>
    <w:unhideWhenUsed/>
    <w:rsid w:val="00B144CA"/>
    <w:rPr>
      <w:b/>
      <w:bCs/>
    </w:rPr>
  </w:style>
  <w:style w:type="character" w:customStyle="1" w:styleId="ObjetducommentaireCar">
    <w:name w:val="Objet du commentaire Car"/>
    <w:basedOn w:val="CommentaireCar"/>
    <w:link w:val="Objetducommentaire"/>
    <w:uiPriority w:val="99"/>
    <w:semiHidden/>
    <w:rsid w:val="00B144CA"/>
    <w:rPr>
      <w:b/>
      <w:bCs/>
      <w:sz w:val="20"/>
      <w:szCs w:val="20"/>
    </w:rPr>
  </w:style>
  <w:style w:type="character" w:styleId="Lienhypertexte">
    <w:name w:val="Hyperlink"/>
    <w:basedOn w:val="Policepardfaut"/>
    <w:uiPriority w:val="99"/>
    <w:unhideWhenUsed/>
    <w:rsid w:val="00DE665F"/>
    <w:rPr>
      <w:color w:val="0563C1" w:themeColor="hyperlink"/>
      <w:u w:val="single"/>
    </w:rPr>
  </w:style>
  <w:style w:type="character" w:customStyle="1" w:styleId="UnresolvedMention1">
    <w:name w:val="Unresolved Mention1"/>
    <w:basedOn w:val="Policepardfaut"/>
    <w:uiPriority w:val="99"/>
    <w:semiHidden/>
    <w:unhideWhenUsed/>
    <w:rsid w:val="00DE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2030-39C5-4C08-A826-5185AF63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8045</Words>
  <Characters>43124</Characters>
  <Application>Microsoft Office Word</Application>
  <DocSecurity>0</DocSecurity>
  <Lines>829</Lines>
  <Paragraphs>117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 Deweirdt</dc:creator>
  <cp:lastModifiedBy>Francis Leboutte</cp:lastModifiedBy>
  <cp:revision>2</cp:revision>
  <cp:lastPrinted>2021-08-02T19:21:00Z</cp:lastPrinted>
  <dcterms:created xsi:type="dcterms:W3CDTF">2021-08-03T08:08:00Z</dcterms:created>
  <dcterms:modified xsi:type="dcterms:W3CDTF">2021-08-03T08:08:00Z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VOORNAAM">
    <vt:lpwstr>VZW</vt:lpwstr>
  </property>
  <property fmtid="{D5CDD505-2E9C-101B-9397-08002B2CF9AE}" pid="3" name="CLINAAM">
    <vt:lpwstr>BBSB</vt:lpwstr>
  </property>
  <property fmtid="{D5CDD505-2E9C-101B-9397-08002B2CF9AE}" pid="4" name="CLIDOMGEMEENTE">
    <vt:lpwstr>9230 AALST</vt:lpwstr>
  </property>
  <property fmtid="{D5CDD505-2E9C-101B-9397-08002B2CF9AE}" pid="5" name="CLIDOMSTRAAT">
    <vt:lpwstr>Ninovesteenweg 198 bus 30</vt:lpwstr>
  </property>
  <property fmtid="{D5CDD505-2E9C-101B-9397-08002B2CF9AE}" pid="6" name="CLIONDNUMMER">
    <vt:lpwstr>0750.781.879</vt:lpwstr>
  </property>
  <property fmtid="{D5CDD505-2E9C-101B-9397-08002B2CF9AE}" pid="7" name="DOSNO">
    <vt:lpwstr>MD/900039</vt:lpwstr>
  </property>
</Properties>
</file>